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</w:t>
      </w:r>
      <w:proofErr w:type="gramStart"/>
      <w:r w:rsidR="00725D8A">
        <w:rPr>
          <w:rFonts w:ascii="Times New Roman" w:eastAsia="Times New Roman" w:hAnsi="Times New Roman" w:cs="Times New Roman"/>
          <w:b/>
          <w:bCs/>
          <w:sz w:val="24"/>
          <w:szCs w:val="24"/>
        </w:rPr>
        <w:t>39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B6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4776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746A3" w:rsidRPr="00166C0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25D8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2746A3" w:rsidRPr="00166C0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</w:t>
      </w:r>
      <w:r w:rsidR="00FA4F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B774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74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D8A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</w:t>
      </w:r>
      <w:r w:rsidR="00166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</w:t>
      </w:r>
      <w:proofErr w:type="spellEnd"/>
      <w:r w:rsidR="00F20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CB7743" w:rsidRPr="00CB7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DA3B83" w:rsidRDefault="00BF2CCB" w:rsidP="00E2118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tbl>
      <w:tblPr>
        <w:tblStyle w:val="a6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"/>
        <w:gridCol w:w="1822"/>
        <w:gridCol w:w="3685"/>
        <w:gridCol w:w="567"/>
        <w:gridCol w:w="1134"/>
        <w:gridCol w:w="1134"/>
        <w:gridCol w:w="1559"/>
      </w:tblGrid>
      <w:tr w:rsidR="00EB4B4D" w:rsidRPr="005A1C86" w:rsidTr="007F0E01">
        <w:trPr>
          <w:trHeight w:val="300"/>
        </w:trPr>
        <w:tc>
          <w:tcPr>
            <w:tcW w:w="447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1822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3685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Тех.описание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EB4B4D" w:rsidRPr="004066F3" w:rsidRDefault="00EB4B4D" w:rsidP="00EB4B4D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EB4B4D" w:rsidRPr="005A1C86" w:rsidRDefault="00EB4B4D" w:rsidP="00EB4B4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1559" w:type="dxa"/>
          </w:tcPr>
          <w:p w:rsidR="00EB4B4D" w:rsidRPr="00CE0C0E" w:rsidRDefault="00EB4B4D" w:rsidP="00EB4B4D">
            <w:pPr>
              <w:rPr>
                <w:sz w:val="20"/>
                <w:szCs w:val="20"/>
              </w:rPr>
            </w:pPr>
            <w:r w:rsidRPr="00CE0C0E">
              <w:rPr>
                <w:sz w:val="20"/>
                <w:szCs w:val="20"/>
              </w:rPr>
              <w:t xml:space="preserve">Место поставки </w:t>
            </w:r>
          </w:p>
        </w:tc>
      </w:tr>
      <w:tr w:rsidR="00EB4B4D" w:rsidRPr="00EC4705" w:rsidTr="007F0E01">
        <w:trPr>
          <w:trHeight w:val="300"/>
        </w:trPr>
        <w:tc>
          <w:tcPr>
            <w:tcW w:w="447" w:type="dxa"/>
            <w:noWrap/>
          </w:tcPr>
          <w:p w:rsidR="00EB4B4D" w:rsidRPr="00EC4705" w:rsidRDefault="007F0E01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noWrap/>
          </w:tcPr>
          <w:p w:rsidR="00EB4B4D" w:rsidRPr="00EC4705" w:rsidRDefault="00EB4B4D" w:rsidP="00EB4B4D">
            <w:pPr>
              <w:pStyle w:val="TableParagraph"/>
              <w:spacing w:line="242" w:lineRule="auto"/>
              <w:ind w:left="108"/>
              <w:rPr>
                <w:sz w:val="20"/>
                <w:szCs w:val="20"/>
              </w:rPr>
            </w:pPr>
            <w:proofErr w:type="gramStart"/>
            <w:r w:rsidRPr="00EC4705">
              <w:rPr>
                <w:sz w:val="20"/>
                <w:szCs w:val="20"/>
                <w:lang w:val="ru-RU"/>
              </w:rPr>
              <w:t>А</w:t>
            </w:r>
            <w:r w:rsidRPr="00EC4705">
              <w:rPr>
                <w:sz w:val="20"/>
                <w:szCs w:val="20"/>
              </w:rPr>
              <w:t>втохолодильника  Libhof</w:t>
            </w:r>
            <w:proofErr w:type="gramEnd"/>
            <w:r w:rsidRPr="00EC4705">
              <w:rPr>
                <w:sz w:val="20"/>
                <w:szCs w:val="20"/>
              </w:rPr>
              <w:t xml:space="preserve"> K-26 (23л.)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B4D" w:rsidRDefault="00EB4B4D" w:rsidP="00EB4B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Libhof</w:t>
            </w:r>
            <w:proofErr w:type="spellEnd"/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K-26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– компрессорный автомобильный холодильник с классическим форм-фактором. Прочный корпус выполнен в классическом для холодильников белом цвете с тёмными акцентами. Крышка имеет классический механический замок, а компактные встроенные ручки позволяют удобно переносить даже полностью заполненный холодильник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Заморозка до -25°С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Мощный тихий компрессор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proofErr w:type="spellStart"/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Автохолодильник</w:t>
            </w:r>
            <w:proofErr w:type="spellEnd"/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может работать при постоянном наклоне в 45°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Сенсорная панель управления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Индикаторы состояния и неисправности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Защита от разрядки</w:t>
            </w:r>
          </w:p>
          <w:p w:rsidR="00EB4B4D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Режим пониженного потребления 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Эко режим</w:t>
            </w:r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Память последних настроек</w:t>
            </w:r>
            <w:bookmarkStart w:id="0" w:name="_GoBack"/>
            <w:bookmarkEnd w:id="0"/>
          </w:p>
          <w:p w:rsidR="00EB4B4D" w:rsidRPr="008354A3" w:rsidRDefault="00EB4B4D" w:rsidP="00EB4B4D">
            <w:pPr>
              <w:shd w:val="clear" w:color="auto" w:fill="FFFFFF"/>
              <w:spacing w:line="0" w:lineRule="atLeast"/>
              <w:ind w:right="2336"/>
              <w:rPr>
                <w:rFonts w:ascii="Times New Roman" w:hAnsi="Times New Roman" w:cs="Times New Roman"/>
                <w:color w:val="181818"/>
                <w:sz w:val="20"/>
                <w:szCs w:val="20"/>
              </w:rPr>
            </w:pP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Разделит</w:t>
            </w:r>
            <w:r w:rsidR="007F0E01"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ель</w:t>
            </w:r>
            <w:r w:rsidRPr="008354A3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отсека</w:t>
            </w:r>
          </w:p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B4D" w:rsidRPr="00EC4705" w:rsidRDefault="00725D8A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D" w:rsidRPr="00EB4B4D" w:rsidRDefault="00725D8A" w:rsidP="00EB4B4D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2 072 000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4D" w:rsidRDefault="00F20B73" w:rsidP="00EB4B4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Алматинская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Жамбылский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Узынагаш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ул.Карасай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батыра №259</w:t>
            </w:r>
          </w:p>
        </w:tc>
      </w:tr>
      <w:tr w:rsidR="00EB4B4D" w:rsidRPr="00EC4705" w:rsidTr="007F0E01">
        <w:trPr>
          <w:trHeight w:val="499"/>
        </w:trPr>
        <w:tc>
          <w:tcPr>
            <w:tcW w:w="447" w:type="dxa"/>
            <w:noWrap/>
            <w:hideMark/>
          </w:tcPr>
          <w:p w:rsidR="00EB4B4D" w:rsidRPr="00EC4705" w:rsidRDefault="00EB4B4D" w:rsidP="00EB4B4D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22" w:type="dxa"/>
            <w:hideMark/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EC470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hideMark/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B4B4D" w:rsidRPr="00EB4B4D" w:rsidRDefault="00EB4B4D" w:rsidP="00725D8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2</w:t>
            </w:r>
            <w:r w:rsidR="00725D8A">
              <w:rPr>
                <w:rFonts w:ascii="Calibri" w:eastAsia="Times New Roman" w:hAnsi="Calibri" w:cs="Times New Roman"/>
                <w:b/>
                <w:sz w:val="20"/>
                <w:szCs w:val="20"/>
                <w:lang w:val="kk-KZ"/>
              </w:rPr>
              <w:t> 072 000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B4B4D" w:rsidRPr="00EC4705" w:rsidRDefault="00EB4B4D" w:rsidP="00EB4B4D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DA3B83" w:rsidRPr="00EC4705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EC4705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EC4705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</w:r>
      <w:r w:rsidRPr="00EC470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не менее восьми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EC470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социального развития Республики Казахстан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18 января 2017 года № 20</w:t>
            </w:r>
          </w:p>
        </w:tc>
      </w:tr>
      <w:tr w:rsidR="00BF2CCB" w:rsidRPr="00EC470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2CCB" w:rsidRPr="00EC470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</w:tbl>
    <w:p w:rsidR="00DA3B83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    </w:t>
      </w:r>
    </w:p>
    <w:p w:rsidR="00BF2CCB" w:rsidRPr="00EC4705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______________                          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>_______________                     Печать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                                                    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0446F" w:rsidRPr="00EC4705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EC4705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BF2CCB" w:rsidRPr="00EC4705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C32D8"/>
    <w:multiLevelType w:val="multilevel"/>
    <w:tmpl w:val="89C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07F40"/>
    <w:multiLevelType w:val="multilevel"/>
    <w:tmpl w:val="F85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74454"/>
    <w:rsid w:val="00081773"/>
    <w:rsid w:val="000A08DC"/>
    <w:rsid w:val="000A4E8B"/>
    <w:rsid w:val="000C63D0"/>
    <w:rsid w:val="000E6171"/>
    <w:rsid w:val="001118E6"/>
    <w:rsid w:val="001557F1"/>
    <w:rsid w:val="00166C0E"/>
    <w:rsid w:val="00173AE5"/>
    <w:rsid w:val="001E32F7"/>
    <w:rsid w:val="002050FD"/>
    <w:rsid w:val="00247828"/>
    <w:rsid w:val="0025591A"/>
    <w:rsid w:val="0026250C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627B9"/>
    <w:rsid w:val="00373AF5"/>
    <w:rsid w:val="00397DA7"/>
    <w:rsid w:val="003A6610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05F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5AD4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25D8A"/>
    <w:rsid w:val="00733BEB"/>
    <w:rsid w:val="007437E0"/>
    <w:rsid w:val="00766A4C"/>
    <w:rsid w:val="007931AB"/>
    <w:rsid w:val="00793460"/>
    <w:rsid w:val="007B382F"/>
    <w:rsid w:val="007C23F6"/>
    <w:rsid w:val="007F0E01"/>
    <w:rsid w:val="007F2C08"/>
    <w:rsid w:val="008354A3"/>
    <w:rsid w:val="00841B1C"/>
    <w:rsid w:val="008651D6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9116CB"/>
    <w:rsid w:val="0092082E"/>
    <w:rsid w:val="00924DF3"/>
    <w:rsid w:val="00951E1F"/>
    <w:rsid w:val="00967A7D"/>
    <w:rsid w:val="00991C77"/>
    <w:rsid w:val="009B6C61"/>
    <w:rsid w:val="009D1FE1"/>
    <w:rsid w:val="009D6705"/>
    <w:rsid w:val="009E1187"/>
    <w:rsid w:val="009F2391"/>
    <w:rsid w:val="00A2346A"/>
    <w:rsid w:val="00A364BA"/>
    <w:rsid w:val="00A56190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73C8E"/>
    <w:rsid w:val="00B92722"/>
    <w:rsid w:val="00B963BF"/>
    <w:rsid w:val="00BA272F"/>
    <w:rsid w:val="00BB0903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366CB"/>
    <w:rsid w:val="00C52046"/>
    <w:rsid w:val="00C70F75"/>
    <w:rsid w:val="00C737E9"/>
    <w:rsid w:val="00C854EA"/>
    <w:rsid w:val="00CB210F"/>
    <w:rsid w:val="00CB47FE"/>
    <w:rsid w:val="00CB7743"/>
    <w:rsid w:val="00CC3262"/>
    <w:rsid w:val="00CD0CE2"/>
    <w:rsid w:val="00CF3A00"/>
    <w:rsid w:val="00CF6E01"/>
    <w:rsid w:val="00D13D33"/>
    <w:rsid w:val="00D22DDB"/>
    <w:rsid w:val="00D239FF"/>
    <w:rsid w:val="00D7477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E2118D"/>
    <w:rsid w:val="00E22405"/>
    <w:rsid w:val="00E35F1E"/>
    <w:rsid w:val="00E47F51"/>
    <w:rsid w:val="00E675A0"/>
    <w:rsid w:val="00E738CB"/>
    <w:rsid w:val="00E74D8C"/>
    <w:rsid w:val="00E9676F"/>
    <w:rsid w:val="00EA515C"/>
    <w:rsid w:val="00EB4B4D"/>
    <w:rsid w:val="00EC24A5"/>
    <w:rsid w:val="00EC3A1E"/>
    <w:rsid w:val="00EC4705"/>
    <w:rsid w:val="00F20B73"/>
    <w:rsid w:val="00F3630C"/>
    <w:rsid w:val="00F433CA"/>
    <w:rsid w:val="00F50439"/>
    <w:rsid w:val="00F539C1"/>
    <w:rsid w:val="00FA4F90"/>
    <w:rsid w:val="00FB19CD"/>
    <w:rsid w:val="00FB4B83"/>
    <w:rsid w:val="00FE22D7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2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EB83-E0FF-4F67-8F9A-77B8BBD5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142</cp:revision>
  <cp:lastPrinted>2021-03-18T12:38:00Z</cp:lastPrinted>
  <dcterms:created xsi:type="dcterms:W3CDTF">2020-05-19T05:45:00Z</dcterms:created>
  <dcterms:modified xsi:type="dcterms:W3CDTF">2021-03-18T12:43:00Z</dcterms:modified>
</cp:coreProperties>
</file>