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CD" w:rsidRDefault="00EB49CD"/>
    <w:p w:rsidR="00EB4978" w:rsidRDefault="00EB4978" w:rsidP="00EB497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EB4978" w:rsidRDefault="00C24F16" w:rsidP="00C24F1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37 </w:t>
      </w:r>
      <w:r w:rsidR="00EB4978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22.07. 2019 года</w:t>
      </w:r>
    </w:p>
    <w:p w:rsidR="00EB4978" w:rsidRDefault="00EB4978" w:rsidP="00EB497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EB4978" w:rsidRDefault="00EB4978" w:rsidP="00EB497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»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  <w:proofErr w:type="gramEnd"/>
    </w:p>
    <w:p w:rsidR="00EB4978" w:rsidRDefault="00EB4978" w:rsidP="00EB497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«29» июля   2019 года.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Номер и дату объявления заполнить, дата вскрытия конвертов в «___» __________ 2019 года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_______ часов.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EB4978" w:rsidRDefault="00EB4978" w:rsidP="00EB4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3378"/>
        <w:gridCol w:w="972"/>
        <w:gridCol w:w="729"/>
        <w:gridCol w:w="685"/>
        <w:gridCol w:w="24"/>
        <w:gridCol w:w="2976"/>
      </w:tblGrid>
      <w:tr w:rsidR="00EB4978" w:rsidTr="0093099B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978" w:rsidRDefault="00EB4978" w:rsidP="0093099B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EB4978" w:rsidTr="0093099B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78" w:rsidRPr="00527F92" w:rsidRDefault="00EB4978" w:rsidP="00EB4978">
            <w:pPr>
              <w:rPr>
                <w:rFonts w:ascii="Calibri" w:hAnsi="Calibri" w:cs="Calibri"/>
                <w:lang w:val="kk-KZ"/>
              </w:rPr>
            </w:pPr>
            <w:r w:rsidRPr="00527F92">
              <w:rPr>
                <w:rFonts w:ascii="Calibri" w:hAnsi="Calibri" w:cs="Calibri"/>
                <w:lang w:val="kk-KZ"/>
              </w:rPr>
              <w:t xml:space="preserve">Одностаронний фартук  Рентгензащитный </w:t>
            </w:r>
            <w:r w:rsidRPr="00527F92">
              <w:rPr>
                <w:rFonts w:ascii="Calibri" w:hAnsi="Calibri" w:cs="Calibri"/>
              </w:rPr>
              <w:t xml:space="preserve">0,5мм </w:t>
            </w:r>
            <w:proofErr w:type="spellStart"/>
            <w:r w:rsidRPr="00527F92">
              <w:rPr>
                <w:rFonts w:ascii="Calibri" w:hAnsi="Calibri" w:cs="Calibri"/>
              </w:rPr>
              <w:t>Pb</w:t>
            </w:r>
            <w:proofErr w:type="spellEnd"/>
            <w:r w:rsidRPr="00527F92">
              <w:rPr>
                <w:rFonts w:ascii="Calibri" w:hAnsi="Calibri" w:cs="Calibri"/>
              </w:rPr>
              <w:t>, размер XL W/G-60, 110 см. Цвет синий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Pr="00ED44F1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978" w:rsidRPr="00ED44F1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295000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B4978" w:rsidTr="0093099B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Pr="00527F92" w:rsidRDefault="00EB4978" w:rsidP="00EB49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C838C"/>
                <w:sz w:val="17"/>
                <w:szCs w:val="17"/>
              </w:rPr>
            </w:pPr>
            <w:r w:rsidRPr="00527F92">
              <w:rPr>
                <w:rFonts w:ascii="Calibri" w:hAnsi="Calibri" w:cs="Calibri"/>
                <w:lang w:val="kk-KZ"/>
              </w:rPr>
              <w:t>Воротник  Рентгензащитный</w:t>
            </w:r>
            <w:r w:rsidRPr="00527F92">
              <w:rPr>
                <w:rFonts w:ascii="Calibri" w:eastAsia="Times New Roman" w:hAnsi="Calibri" w:cs="Calibri"/>
              </w:rPr>
              <w:t xml:space="preserve">модель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Harmony</w:t>
            </w:r>
            <w:proofErr w:type="spellEnd"/>
            <w:r w:rsidRPr="00527F92">
              <w:rPr>
                <w:rFonts w:ascii="Calibri" w:eastAsia="Times New Roman" w:hAnsi="Calibri" w:cs="Calibri"/>
              </w:rPr>
              <w:t xml:space="preserve"> 0,5мм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Pb</w:t>
            </w:r>
            <w:proofErr w:type="spellEnd"/>
            <w:r w:rsidRPr="00527F92">
              <w:rPr>
                <w:rFonts w:ascii="Calibri" w:eastAsia="Times New Roman" w:hAnsi="Calibri" w:cs="Calibri"/>
                <w:color w:val="6C838C"/>
                <w:sz w:val="17"/>
                <w:szCs w:val="17"/>
              </w:rPr>
              <w:t>.</w:t>
            </w:r>
            <w:r w:rsidRPr="00527F92">
              <w:rPr>
                <w:rFonts w:ascii="Calibri" w:hAnsi="Calibri" w:cs="Calibri"/>
              </w:rPr>
              <w:t xml:space="preserve"> Цвет синий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Pr="00D021CB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978" w:rsidRPr="00D021CB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B4978" w:rsidTr="0093099B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Pr="00527F92" w:rsidRDefault="00EB4978" w:rsidP="00EB4978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527F92">
              <w:rPr>
                <w:rFonts w:ascii="Calibri" w:hAnsi="Calibri" w:cs="Calibri"/>
                <w:lang w:val="kk-KZ"/>
              </w:rPr>
              <w:t xml:space="preserve">Шапочка  Рентгензащитный </w:t>
            </w:r>
            <w:r w:rsidRPr="00527F92">
              <w:rPr>
                <w:rFonts w:ascii="Calibri" w:eastAsia="Times New Roman" w:hAnsi="Calibri" w:cs="Calibri"/>
              </w:rPr>
              <w:t xml:space="preserve">0,25мм </w:t>
            </w:r>
            <w:proofErr w:type="spellStart"/>
            <w:r w:rsidRPr="00527F92">
              <w:rPr>
                <w:rFonts w:ascii="Calibri" w:eastAsia="Times New Roman" w:hAnsi="Calibri" w:cs="Calibri"/>
              </w:rPr>
              <w:t>Pb</w:t>
            </w:r>
            <w:proofErr w:type="spellEnd"/>
            <w:r w:rsidRPr="00527F92">
              <w:rPr>
                <w:rFonts w:ascii="Calibri" w:eastAsia="Times New Roman" w:hAnsi="Calibri" w:cs="Calibri"/>
              </w:rPr>
              <w:t xml:space="preserve"> для взрослых.     Цвет синий.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Pr="00D021CB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978" w:rsidRPr="00D021CB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B4978" w:rsidTr="0093099B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Pr="00714F6D" w:rsidRDefault="00EB4978" w:rsidP="00EB4978">
            <w:pPr>
              <w:spacing w:before="100" w:beforeAutospacing="1" w:after="100" w:afterAutospacing="1" w:line="240" w:lineRule="auto"/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Прибор для измерения артериального давления Тонометр со стетоскопом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978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978" w:rsidRDefault="00EB4978" w:rsidP="00EB497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978" w:rsidRDefault="00EB4978" w:rsidP="00EB497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EB4978" w:rsidRDefault="00EB4978" w:rsidP="00EB4978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EB4978" w:rsidRDefault="00EB4978" w:rsidP="00EB4978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EB4978" w:rsidRDefault="00EB4978" w:rsidP="00EB4978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EB4978" w:rsidRDefault="00EB4978" w:rsidP="00EB4978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B4978" w:rsidRDefault="00EB4978" w:rsidP="00EB4978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 20.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менее сорока процентов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 xml:space="preserve">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EB4978" w:rsidRDefault="00EB4978" w:rsidP="00EB497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EB4978" w:rsidRDefault="00EB4978" w:rsidP="00EB497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EB4978" w:rsidTr="0093099B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EB4978" w:rsidTr="0093099B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EB4978" w:rsidRDefault="00EB4978" w:rsidP="00EB4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EB4978" w:rsidRDefault="00EB4978" w:rsidP="00EB4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EB4978" w:rsidRDefault="00EB4978" w:rsidP="00EB49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EB4978" w:rsidRDefault="00EB4978" w:rsidP="00EB4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EB4978" w:rsidTr="0093099B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  <w:tr w:rsidR="00EB4978" w:rsidTr="0093099B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978" w:rsidRDefault="00EB4978" w:rsidP="0093099B">
            <w:pPr>
              <w:spacing w:after="0"/>
              <w:rPr>
                <w:rFonts w:cs="Times New Roman"/>
              </w:rPr>
            </w:pPr>
          </w:p>
        </w:tc>
      </w:tr>
    </w:tbl>
    <w:p w:rsidR="00EB4978" w:rsidRDefault="00EB4978" w:rsidP="00EB4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EB4978" w:rsidRDefault="00EB4978" w:rsidP="00EB4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EB4978" w:rsidRDefault="00EB4978" w:rsidP="00EB4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EB4978" w:rsidRDefault="00EB4978" w:rsidP="00EB497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EB4978" w:rsidRDefault="00EB4978" w:rsidP="00EB497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EB4978" w:rsidRDefault="00EB4978" w:rsidP="00EB4978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EB4978" w:rsidRDefault="00EB4978" w:rsidP="00EB4978"/>
    <w:p w:rsidR="00EB4978" w:rsidRDefault="00EB4978" w:rsidP="00EB4978"/>
    <w:p w:rsidR="00EB4978" w:rsidRDefault="00EB4978"/>
    <w:sectPr w:rsidR="00EB4978" w:rsidSect="00EB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978"/>
    <w:rsid w:val="00C24F16"/>
    <w:rsid w:val="00EB4978"/>
    <w:rsid w:val="00EB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1866</Words>
  <Characters>10637</Characters>
  <Application>Microsoft Office Word</Application>
  <DocSecurity>0</DocSecurity>
  <Lines>88</Lines>
  <Paragraphs>24</Paragraphs>
  <ScaleCrop>false</ScaleCrop>
  <Company>Microsoft</Company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</cp:revision>
  <dcterms:created xsi:type="dcterms:W3CDTF">2019-10-24T04:56:00Z</dcterms:created>
  <dcterms:modified xsi:type="dcterms:W3CDTF">2021-08-31T17:02:00Z</dcterms:modified>
</cp:coreProperties>
</file>