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D1" w:rsidRDefault="00406FE8" w:rsidP="00F551D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  35</w:t>
      </w:r>
      <w:r w:rsidR="00F551D1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от 22.07. 2019 года</w:t>
      </w:r>
    </w:p>
    <w:p w:rsidR="00F551D1" w:rsidRDefault="00F551D1" w:rsidP="00F551D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 лекарственным  средствам  на  2019 год в соответствии с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F551D1" w:rsidRDefault="00F551D1" w:rsidP="00F551D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 w:rsidRPr="00BC68CB">
        <w:rPr>
          <w:rFonts w:ascii="Times New Roman" w:eastAsia="Times New Roman" w:hAnsi="Times New Roman" w:cs="Times New Roman"/>
          <w:b/>
          <w:bCs/>
          <w:sz w:val="18"/>
          <w:szCs w:val="18"/>
        </w:rPr>
        <w:t>медицинской помощи</w:t>
      </w:r>
      <w:r w:rsidRPr="00BC68CB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BC68CB">
        <w:rPr>
          <w:rFonts w:ascii="Times New Roman" w:eastAsia="Times New Roman" w:hAnsi="Times New Roman" w:cs="Times New Roman"/>
          <w:b/>
          <w:bCs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 строго по номеру лота согласно приложению 1 к настоящему объявлению.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3.Сроки поставки: по заявке Заказчика </w:t>
      </w:r>
      <w:r w:rsidR="00267D2D">
        <w:rPr>
          <w:rFonts w:ascii="Times New Roman" w:eastAsia="Times New Roman" w:hAnsi="Times New Roman" w:cs="Times New Roman"/>
          <w:color w:val="5B5B5B"/>
          <w:sz w:val="18"/>
          <w:szCs w:val="18"/>
        </w:rPr>
        <w:t>в течени</w:t>
      </w:r>
      <w:proofErr w:type="gramStart"/>
      <w:r w:rsidR="00267D2D">
        <w:rPr>
          <w:rFonts w:ascii="Times New Roman" w:eastAsia="Times New Roman" w:hAnsi="Times New Roman" w:cs="Times New Roman"/>
          <w:color w:val="5B5B5B"/>
          <w:sz w:val="18"/>
          <w:szCs w:val="18"/>
        </w:rPr>
        <w:t>и</w:t>
      </w:r>
      <w:proofErr w:type="gramEnd"/>
      <w:r w:rsidR="00267D2D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15 дней с момента заключения договора.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 предложений - до 12-30 часов «29» июля   2019 года.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Номер и дату объявления заполнить, дата вскрытия конвертов в «___» __________ 2019 года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_______ часов.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F551D1" w:rsidRDefault="00F551D1" w:rsidP="00F551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6"/>
        <w:gridCol w:w="2693"/>
        <w:gridCol w:w="850"/>
        <w:gridCol w:w="1418"/>
        <w:gridCol w:w="1417"/>
      </w:tblGrid>
      <w:tr w:rsidR="00267D2D" w:rsidTr="00267D2D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2D" w:rsidRDefault="00267D2D" w:rsidP="000E1E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67D2D" w:rsidRDefault="00267D2D" w:rsidP="000E1E8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2D" w:rsidRDefault="00267D2D" w:rsidP="000E1E8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67D2D" w:rsidRPr="00B65085" w:rsidRDefault="00267D2D" w:rsidP="000E1E8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товара,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каталожный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2D" w:rsidRDefault="00267D2D" w:rsidP="000E1E8C">
            <w:pPr>
              <w:ind w:left="-44" w:firstLine="4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2D" w:rsidRDefault="00267D2D" w:rsidP="000E1E8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2D" w:rsidRDefault="00267D2D" w:rsidP="000E1E8C">
            <w:pPr>
              <w:ind w:left="-44" w:firstLine="4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тенге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2D" w:rsidRDefault="00267D2D" w:rsidP="000E1E8C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Сумма, тенге</w:t>
            </w:r>
          </w:p>
        </w:tc>
      </w:tr>
      <w:tr w:rsidR="00267D2D" w:rsidTr="00267D2D">
        <w:trPr>
          <w:cantSplit/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2D" w:rsidRDefault="00267D2D" w:rsidP="000E1E8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2D" w:rsidRDefault="00267D2D" w:rsidP="000E1E8C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Контур пациента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неонатальный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>(в комплекте 10 шт.)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 1207MKI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Default="00267D2D" w:rsidP="000E1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76728" cy="438150"/>
                  <wp:effectExtent l="0" t="0" r="9525" b="0"/>
                  <wp:docPr id="5" name="Рисунок 5" descr="https://www.medin-medical.com/.imaging/stk/hamilton-theme/catalogDetailsImage/dam/medin-Catalog-Images/Circuits/1207MKI_Circuit-set-Medijet.jpg/jcr:content/1207MKI_Circuit-set-Medijet.jpg.2018-04-03-09-14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din-medical.com/.imaging/stk/hamilton-theme/catalogDetailsImage/dam/medin-Catalog-Images/Circuits/1207MKI_Circuit-set-Medijet.jpg/jcr:content/1207MKI_Circuit-set-Medijet.jpg.2018-04-03-09-14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666" t="27200" r="267" b="29600"/>
                          <a:stretch/>
                        </pic:blipFill>
                        <pic:spPr bwMode="auto">
                          <a:xfrm>
                            <a:off x="0" y="0"/>
                            <a:ext cx="1593414" cy="47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D2D" w:rsidRDefault="00267D2D" w:rsidP="000E1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Pr="00A90DD2" w:rsidRDefault="00500773" w:rsidP="000E1E8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  <w:r w:rsidR="00267D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Pr="00A90DD2" w:rsidRDefault="00500773" w:rsidP="0050077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</w:t>
            </w:r>
            <w:r w:rsidR="00267D2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</w:p>
        </w:tc>
      </w:tr>
      <w:tr w:rsidR="00267D2D" w:rsidTr="00267D2D">
        <w:trPr>
          <w:cantSplit/>
          <w:trHeight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Default="00267D2D" w:rsidP="000E1E8C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Default="00267D2D" w:rsidP="000E1E8C">
            <w:pPr>
              <w:rPr>
                <w:rFonts w:ascii="Times New Roman" w:hAnsi="Times New Roman"/>
                <w:sz w:val="24"/>
                <w:szCs w:val="24"/>
              </w:rPr>
            </w:pPr>
            <w:r w:rsidRPr="00A90DD2">
              <w:rPr>
                <w:rFonts w:ascii="Times New Roman" w:eastAsia="Calibri" w:hAnsi="Times New Roman"/>
                <w:sz w:val="24"/>
                <w:szCs w:val="24"/>
              </w:rPr>
              <w:t xml:space="preserve">Стартовый комплект, состоящий </w:t>
            </w:r>
            <w:proofErr w:type="gramStart"/>
            <w:r w:rsidRPr="00A90DD2">
              <w:rPr>
                <w:rFonts w:ascii="Times New Roman" w:eastAsia="Calibri" w:hAnsi="Times New Roman"/>
                <w:sz w:val="24"/>
                <w:szCs w:val="24"/>
              </w:rPr>
              <w:t>из</w:t>
            </w:r>
            <w:proofErr w:type="gramEnd"/>
            <w:r w:rsidRPr="00A90DD2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Medijet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активный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nCPAP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генератор для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новрожденных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, однократного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комплекте 10 шт.); </w:t>
            </w:r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Назальных канюль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 размеров); </w:t>
            </w:r>
            <w:proofErr w:type="spellStart"/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Неонатальные</w:t>
            </w:r>
            <w:proofErr w:type="spellEnd"/>
            <w:r w:rsidRPr="002B4C84">
              <w:rPr>
                <w:rFonts w:ascii="Times New Roman" w:hAnsi="Times New Roman"/>
                <w:b/>
                <w:sz w:val="24"/>
                <w:szCs w:val="24"/>
              </w:rPr>
              <w:t xml:space="preserve"> маски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размера); </w:t>
            </w:r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Комплект шапочек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размеров).</w:t>
            </w:r>
          </w:p>
          <w:p w:rsidR="00267D2D" w:rsidRPr="00197D24" w:rsidRDefault="00267D2D" w:rsidP="000E1E8C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 1000-10)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Pr="0012575A" w:rsidRDefault="00267D2D" w:rsidP="000E1E8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02501" cy="1676400"/>
                  <wp:effectExtent l="0" t="0" r="2540" b="0"/>
                  <wp:docPr id="6" name="Рисунок 6" descr="https://www.medin-medical.com/.imaging/stk/hamilton-theme/catalogDetailsImage/dam/medin-Catalog-Images/nCPAP-Interfaces/1000-10_Medijet-starter-set-S.jpg/jcr:content/1000-10_Medijet-starter-set-S.jpg.2018-04-03-09-12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edin-medical.com/.imaging/stk/hamilton-theme/catalogDetailsImage/dam/medin-Catalog-Images/nCPAP-Interfaces/1000-10_Medijet-starter-set-S.jpg/jcr:content/1000-10_Medijet-starter-set-S.jpg.2018-04-03-09-12-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42400" b="3600"/>
                          <a:stretch/>
                        </pic:blipFill>
                        <pic:spPr bwMode="auto">
                          <a:xfrm>
                            <a:off x="0" y="0"/>
                            <a:ext cx="1524400" cy="170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Default="00267D2D" w:rsidP="000E1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Default="00267D2D" w:rsidP="0050077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0077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Default="00267D2D" w:rsidP="0050077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5007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267D2D" w:rsidTr="00267D2D">
        <w:trPr>
          <w:cantSplit/>
          <w:trHeight w:val="419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Pr="00D73900" w:rsidRDefault="00267D2D" w:rsidP="000E1E8C">
            <w:pPr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2D" w:rsidRPr="00796BC4" w:rsidRDefault="00267D2D" w:rsidP="00500773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5007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000</w:t>
            </w:r>
          </w:p>
        </w:tc>
      </w:tr>
    </w:tbl>
    <w:p w:rsidR="00F551D1" w:rsidRDefault="00F551D1" w:rsidP="00F551D1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F551D1" w:rsidRDefault="00F551D1" w:rsidP="00F551D1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F551D1" w:rsidRDefault="00F551D1" w:rsidP="00F551D1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</w:p>
    <w:p w:rsidR="00F551D1" w:rsidRDefault="00F551D1" w:rsidP="00F551D1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F551D1" w:rsidRDefault="00F551D1" w:rsidP="00F551D1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 20.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отмечать маркером или простым карандашом номер лота на который  подается подтверждающий документ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используемых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зделия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4)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срок годности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финансового года;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>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не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менее сорока процентов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F551D1" w:rsidRDefault="00F551D1" w:rsidP="00F551D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F551D1" w:rsidRDefault="00F551D1" w:rsidP="00F551D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1"/>
        <w:gridCol w:w="3679"/>
      </w:tblGrid>
      <w:tr w:rsidR="00F551D1" w:rsidTr="000E1E8C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F551D1" w:rsidTr="000E1E8C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F551D1" w:rsidRDefault="00F551D1" w:rsidP="00F551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F551D1" w:rsidRDefault="00F551D1" w:rsidP="00F551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F551D1" w:rsidRDefault="00F551D1" w:rsidP="00F551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F551D1" w:rsidRDefault="00F551D1" w:rsidP="00F55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6761"/>
        <w:gridCol w:w="1999"/>
      </w:tblGrid>
      <w:tr w:rsidR="00F551D1" w:rsidTr="000E1E8C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F551D1" w:rsidTr="000E1E8C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F551D1" w:rsidTr="000E1E8C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/>
              <w:rPr>
                <w:rFonts w:cs="Times New Roman"/>
              </w:rPr>
            </w:pPr>
          </w:p>
        </w:tc>
      </w:tr>
      <w:tr w:rsidR="00F551D1" w:rsidTr="000E1E8C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/>
              <w:rPr>
                <w:rFonts w:cs="Times New Roman"/>
              </w:rPr>
            </w:pPr>
          </w:p>
        </w:tc>
      </w:tr>
      <w:tr w:rsidR="00F551D1" w:rsidTr="000E1E8C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/>
              <w:rPr>
                <w:rFonts w:cs="Times New Roman"/>
              </w:rPr>
            </w:pPr>
          </w:p>
        </w:tc>
      </w:tr>
      <w:tr w:rsidR="00F551D1" w:rsidTr="000E1E8C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/>
              <w:rPr>
                <w:rFonts w:cs="Times New Roman"/>
              </w:rPr>
            </w:pPr>
          </w:p>
        </w:tc>
      </w:tr>
      <w:tr w:rsidR="00F551D1" w:rsidTr="000E1E8C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/>
              <w:rPr>
                <w:rFonts w:cs="Times New Roman"/>
              </w:rPr>
            </w:pPr>
          </w:p>
        </w:tc>
      </w:tr>
      <w:tr w:rsidR="00F551D1" w:rsidTr="000E1E8C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/>
              <w:rPr>
                <w:rFonts w:cs="Times New Roman"/>
              </w:rPr>
            </w:pPr>
          </w:p>
        </w:tc>
      </w:tr>
      <w:tr w:rsidR="00F551D1" w:rsidTr="000E1E8C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1D1" w:rsidRDefault="00F551D1" w:rsidP="000E1E8C">
            <w:pPr>
              <w:spacing w:after="0"/>
              <w:rPr>
                <w:rFonts w:cs="Times New Roman"/>
              </w:rPr>
            </w:pPr>
          </w:p>
        </w:tc>
      </w:tr>
    </w:tbl>
    <w:p w:rsidR="00F551D1" w:rsidRDefault="00F551D1" w:rsidP="00F55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F551D1" w:rsidRDefault="00F551D1" w:rsidP="00F55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F551D1" w:rsidRDefault="00F551D1" w:rsidP="00F55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F551D1" w:rsidRDefault="00F551D1" w:rsidP="00F551D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F551D1" w:rsidRDefault="00F551D1" w:rsidP="00F551D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4611F5" w:rsidRDefault="00F551D1" w:rsidP="00267D2D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                             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sectPr w:rsidR="004611F5" w:rsidSect="00AE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1D1"/>
    <w:rsid w:val="00267D2D"/>
    <w:rsid w:val="00406FE8"/>
    <w:rsid w:val="004611F5"/>
    <w:rsid w:val="00500773"/>
    <w:rsid w:val="00924ED2"/>
    <w:rsid w:val="00AE622E"/>
    <w:rsid w:val="00F5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uginstructiondruginfocaption">
    <w:name w:val="druginstruction__druginfocaption"/>
    <w:basedOn w:val="a0"/>
    <w:rsid w:val="00F551D1"/>
  </w:style>
  <w:style w:type="character" w:customStyle="1" w:styleId="druginstructiondruginfoname">
    <w:name w:val="druginstruction__druginfoname"/>
    <w:basedOn w:val="a0"/>
    <w:rsid w:val="00F551D1"/>
  </w:style>
  <w:style w:type="character" w:styleId="a3">
    <w:name w:val="Hyperlink"/>
    <w:basedOn w:val="a0"/>
    <w:uiPriority w:val="99"/>
    <w:semiHidden/>
    <w:unhideWhenUsed/>
    <w:rsid w:val="00F551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1817</Words>
  <Characters>10361</Characters>
  <Application>Microsoft Office Word</Application>
  <DocSecurity>0</DocSecurity>
  <Lines>86</Lines>
  <Paragraphs>24</Paragraphs>
  <ScaleCrop>false</ScaleCrop>
  <Company>Microsoft</Company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7</cp:revision>
  <dcterms:created xsi:type="dcterms:W3CDTF">2019-07-21T10:12:00Z</dcterms:created>
  <dcterms:modified xsi:type="dcterms:W3CDTF">2021-08-31T16:38:00Z</dcterms:modified>
</cp:coreProperties>
</file>