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CB" w:rsidRPr="001769A2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GoBack"/>
      <w:r w:rsidRPr="001769A2">
        <w:rPr>
          <w:rFonts w:ascii="Times New Roman" w:eastAsia="Times New Roman" w:hAnsi="Times New Roman" w:cs="Times New Roman"/>
          <w:b/>
          <w:bCs/>
        </w:rPr>
        <w:t>Объявление №</w:t>
      </w:r>
      <w:r w:rsidR="00DE470E">
        <w:rPr>
          <w:rFonts w:ascii="Times New Roman" w:eastAsia="Times New Roman" w:hAnsi="Times New Roman" w:cs="Times New Roman"/>
          <w:b/>
          <w:bCs/>
          <w:lang w:val="kk-KZ"/>
        </w:rPr>
        <w:t>2</w:t>
      </w:r>
      <w:r w:rsidR="002C7637">
        <w:rPr>
          <w:rFonts w:ascii="Times New Roman" w:eastAsia="Times New Roman" w:hAnsi="Times New Roman" w:cs="Times New Roman"/>
          <w:b/>
          <w:bCs/>
          <w:lang w:val="kk-KZ"/>
        </w:rPr>
        <w:t xml:space="preserve">2 </w:t>
      </w:r>
      <w:proofErr w:type="gramStart"/>
      <w:r w:rsidRPr="001769A2">
        <w:rPr>
          <w:rFonts w:ascii="Times New Roman" w:eastAsia="Times New Roman" w:hAnsi="Times New Roman" w:cs="Times New Roman"/>
          <w:b/>
          <w:bCs/>
        </w:rPr>
        <w:t xml:space="preserve">от </w:t>
      </w:r>
      <w:r w:rsidR="00DB6A4D" w:rsidRPr="001769A2">
        <w:rPr>
          <w:rFonts w:ascii="Times New Roman" w:eastAsia="Times New Roman" w:hAnsi="Times New Roman" w:cs="Times New Roman"/>
          <w:b/>
          <w:bCs/>
        </w:rPr>
        <w:t xml:space="preserve"> </w:t>
      </w:r>
      <w:r w:rsidR="00DE5233">
        <w:rPr>
          <w:rFonts w:ascii="Times New Roman" w:eastAsia="Times New Roman" w:hAnsi="Times New Roman" w:cs="Times New Roman"/>
          <w:b/>
          <w:bCs/>
        </w:rPr>
        <w:t>08</w:t>
      </w:r>
      <w:r w:rsidR="0092082E" w:rsidRPr="001769A2">
        <w:rPr>
          <w:rFonts w:ascii="Times New Roman" w:eastAsia="Times New Roman" w:hAnsi="Times New Roman" w:cs="Times New Roman"/>
          <w:b/>
          <w:bCs/>
        </w:rPr>
        <w:t>.</w:t>
      </w:r>
      <w:r w:rsidR="002746A3" w:rsidRPr="001769A2">
        <w:rPr>
          <w:rFonts w:ascii="Times New Roman" w:eastAsia="Times New Roman" w:hAnsi="Times New Roman" w:cs="Times New Roman"/>
          <w:b/>
          <w:bCs/>
        </w:rPr>
        <w:t>0</w:t>
      </w:r>
      <w:r w:rsidR="00066418">
        <w:rPr>
          <w:rFonts w:ascii="Times New Roman" w:eastAsia="Times New Roman" w:hAnsi="Times New Roman" w:cs="Times New Roman"/>
          <w:b/>
          <w:bCs/>
        </w:rPr>
        <w:t>2</w:t>
      </w:r>
      <w:proofErr w:type="gramEnd"/>
      <w:r w:rsidRPr="001769A2">
        <w:rPr>
          <w:rFonts w:ascii="Times New Roman" w:eastAsia="Times New Roman" w:hAnsi="Times New Roman" w:cs="Times New Roman"/>
          <w:b/>
          <w:bCs/>
        </w:rPr>
        <w:t>. 202</w:t>
      </w:r>
      <w:r w:rsidR="002746A3" w:rsidRPr="001769A2">
        <w:rPr>
          <w:rFonts w:ascii="Times New Roman" w:eastAsia="Times New Roman" w:hAnsi="Times New Roman" w:cs="Times New Roman"/>
          <w:b/>
          <w:bCs/>
        </w:rPr>
        <w:t>1</w:t>
      </w:r>
      <w:r w:rsidRPr="001769A2">
        <w:rPr>
          <w:rFonts w:ascii="Times New Roman" w:eastAsia="Times New Roman" w:hAnsi="Times New Roman" w:cs="Times New Roman"/>
          <w:b/>
          <w:bCs/>
        </w:rPr>
        <w:t xml:space="preserve"> года</w:t>
      </w:r>
    </w:p>
    <w:p w:rsidR="00BF2CCB" w:rsidRDefault="00CE0C0E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</w:rPr>
        <w:t xml:space="preserve">      </w:t>
      </w:r>
      <w:r w:rsidR="00BF2CCB" w:rsidRPr="001769A2">
        <w:rPr>
          <w:rFonts w:ascii="Times New Roman" w:eastAsia="Times New Roman" w:hAnsi="Times New Roman" w:cs="Times New Roman"/>
          <w:b/>
          <w:bCs/>
        </w:rPr>
        <w:t> Государственное коммунальное предприятие на праве хозяйственного ведения «</w:t>
      </w:r>
      <w:proofErr w:type="spellStart"/>
      <w:r w:rsidR="00BF2CCB" w:rsidRPr="001769A2">
        <w:rPr>
          <w:rFonts w:ascii="Times New Roman" w:eastAsia="Times New Roman" w:hAnsi="Times New Roman" w:cs="Times New Roman"/>
          <w:b/>
          <w:bCs/>
        </w:rPr>
        <w:t>Жамбылская</w:t>
      </w:r>
      <w:proofErr w:type="spellEnd"/>
      <w:r w:rsidR="00BF2CCB" w:rsidRPr="001769A2">
        <w:rPr>
          <w:rFonts w:ascii="Times New Roman" w:eastAsia="Times New Roman" w:hAnsi="Times New Roman" w:cs="Times New Roman"/>
          <w:b/>
          <w:bCs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="00BF2CCB" w:rsidRPr="001769A2">
        <w:rPr>
          <w:rFonts w:ascii="Times New Roman" w:eastAsia="Times New Roman" w:hAnsi="Times New Roman" w:cs="Times New Roman"/>
          <w:b/>
          <w:bCs/>
        </w:rPr>
        <w:t>Алматинской</w:t>
      </w:r>
      <w:proofErr w:type="spellEnd"/>
      <w:r w:rsidR="00BF2CCB" w:rsidRPr="001769A2">
        <w:rPr>
          <w:rFonts w:ascii="Times New Roman" w:eastAsia="Times New Roman" w:hAnsi="Times New Roman" w:cs="Times New Roman"/>
          <w:b/>
          <w:bCs/>
        </w:rPr>
        <w:t xml:space="preserve"> области» </w:t>
      </w:r>
      <w:proofErr w:type="spellStart"/>
      <w:r w:rsidR="00BF2CCB" w:rsidRPr="001769A2">
        <w:rPr>
          <w:rFonts w:ascii="Times New Roman" w:eastAsia="Times New Roman" w:hAnsi="Times New Roman" w:cs="Times New Roman"/>
          <w:b/>
          <w:bCs/>
        </w:rPr>
        <w:t>акимата</w:t>
      </w:r>
      <w:proofErr w:type="spellEnd"/>
      <w:r w:rsidR="00144FB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BF2CCB" w:rsidRPr="001769A2">
        <w:rPr>
          <w:rFonts w:ascii="Times New Roman" w:eastAsia="Times New Roman" w:hAnsi="Times New Roman" w:cs="Times New Roman"/>
          <w:b/>
          <w:bCs/>
        </w:rPr>
        <w:t>Алматинской</w:t>
      </w:r>
      <w:proofErr w:type="spellEnd"/>
      <w:r w:rsidR="00BF2CCB" w:rsidRPr="001769A2">
        <w:rPr>
          <w:rFonts w:ascii="Times New Roman" w:eastAsia="Times New Roman" w:hAnsi="Times New Roman" w:cs="Times New Roman"/>
          <w:b/>
          <w:bCs/>
        </w:rPr>
        <w:t xml:space="preserve"> области </w:t>
      </w:r>
      <w:r w:rsidR="00BF2CCB" w:rsidRPr="001769A2">
        <w:rPr>
          <w:rFonts w:ascii="Times New Roman" w:eastAsia="Times New Roman" w:hAnsi="Times New Roman" w:cs="Times New Roman"/>
        </w:rPr>
        <w:t>объявляет о проведении закупа способом запроса ценовых предложений по изделиям медицинского назначения на 202</w:t>
      </w:r>
      <w:r w:rsidR="00D552AB">
        <w:rPr>
          <w:rFonts w:ascii="Times New Roman" w:eastAsia="Times New Roman" w:hAnsi="Times New Roman" w:cs="Times New Roman"/>
        </w:rPr>
        <w:t>1</w:t>
      </w:r>
      <w:r w:rsidR="00BF2CCB" w:rsidRPr="001769A2">
        <w:rPr>
          <w:rFonts w:ascii="Times New Roman" w:eastAsia="Times New Roman" w:hAnsi="Times New Roman" w:cs="Times New Roman"/>
        </w:rPr>
        <w:t xml:space="preserve">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4B4754" w:rsidRPr="001769A2" w:rsidRDefault="004B4754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F2CCB" w:rsidRPr="001769A2" w:rsidRDefault="00BF2CCB" w:rsidP="00AC3B81">
      <w:pPr>
        <w:numPr>
          <w:ilvl w:val="0"/>
          <w:numId w:val="1"/>
        </w:num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AC3B81" w:rsidRDefault="00BF2CCB" w:rsidP="00AC3B81">
      <w:pPr>
        <w:numPr>
          <w:ilvl w:val="0"/>
          <w:numId w:val="1"/>
        </w:num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Документы предоставляются согласно </w:t>
      </w:r>
      <w:r w:rsidRPr="001769A2">
        <w:rPr>
          <w:rFonts w:ascii="Times New Roman" w:eastAsia="Times New Roman" w:hAnsi="Times New Roman" w:cs="Times New Roman"/>
          <w:b/>
          <w:bCs/>
        </w:rPr>
        <w:t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AC3B81" w:rsidRPr="001769A2" w:rsidRDefault="00AC3B81" w:rsidP="00AC3B81">
      <w:pPr>
        <w:shd w:val="clear" w:color="auto" w:fill="FFFFFF"/>
        <w:spacing w:after="0" w:line="270" w:lineRule="atLeast"/>
        <w:ind w:left="15"/>
        <w:jc w:val="both"/>
        <w:rPr>
          <w:rFonts w:ascii="Times New Roman" w:eastAsia="Times New Roman" w:hAnsi="Times New Roman" w:cs="Times New Roman"/>
        </w:rPr>
      </w:pPr>
    </w:p>
    <w:p w:rsidR="00BF2CCB" w:rsidRPr="001769A2" w:rsidRDefault="00BF2CCB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Default="00BF2CCB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AC3B81" w:rsidRPr="001769A2" w:rsidRDefault="00AC3B81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F2CCB" w:rsidRDefault="00BF2CCB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            3.Сроки поставки: п</w:t>
      </w:r>
      <w:r w:rsidR="00D762C6" w:rsidRPr="001769A2">
        <w:rPr>
          <w:rFonts w:ascii="Times New Roman" w:eastAsia="Times New Roman" w:hAnsi="Times New Roman" w:cs="Times New Roman"/>
        </w:rPr>
        <w:t>о заявке Заказчика до 31.12.2021</w:t>
      </w:r>
      <w:r w:rsidRPr="001769A2">
        <w:rPr>
          <w:rFonts w:ascii="Times New Roman" w:eastAsia="Times New Roman" w:hAnsi="Times New Roman" w:cs="Times New Roman"/>
        </w:rPr>
        <w:t xml:space="preserve"> года.</w:t>
      </w:r>
    </w:p>
    <w:p w:rsidR="004B4754" w:rsidRDefault="004B4754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C3B81" w:rsidRPr="001769A2" w:rsidRDefault="00AC3B81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F2CCB" w:rsidRDefault="00BF2CCB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 xml:space="preserve">Место поставки: 040600, </w:t>
      </w:r>
      <w:proofErr w:type="spellStart"/>
      <w:r w:rsidRPr="001769A2">
        <w:rPr>
          <w:rFonts w:ascii="Times New Roman" w:eastAsia="Times New Roman" w:hAnsi="Times New Roman" w:cs="Times New Roman"/>
        </w:rPr>
        <w:t>Алматинская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область, </w:t>
      </w:r>
      <w:proofErr w:type="spellStart"/>
      <w:r w:rsidRPr="001769A2">
        <w:rPr>
          <w:rFonts w:ascii="Times New Roman" w:eastAsia="Times New Roman" w:hAnsi="Times New Roman" w:cs="Times New Roman"/>
        </w:rPr>
        <w:t>Жамбылский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район, село </w:t>
      </w:r>
      <w:proofErr w:type="spellStart"/>
      <w:r w:rsidRPr="001769A2">
        <w:rPr>
          <w:rFonts w:ascii="Times New Roman" w:eastAsia="Times New Roman" w:hAnsi="Times New Roman" w:cs="Times New Roman"/>
        </w:rPr>
        <w:t>Узынагаш</w:t>
      </w:r>
      <w:proofErr w:type="spellEnd"/>
      <w:r w:rsidRPr="001769A2">
        <w:rPr>
          <w:rFonts w:ascii="Times New Roman" w:eastAsia="Times New Roman" w:hAnsi="Times New Roman" w:cs="Times New Roman"/>
        </w:rPr>
        <w:t>, улица Карасай батыра 259.</w:t>
      </w:r>
    </w:p>
    <w:p w:rsidR="00AC3B81" w:rsidRPr="001769A2" w:rsidRDefault="00AC3B81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F2CCB" w:rsidRPr="001769A2" w:rsidRDefault="00BF2CCB" w:rsidP="00AC3B81">
      <w:pPr>
        <w:numPr>
          <w:ilvl w:val="0"/>
          <w:numId w:val="2"/>
        </w:num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 xml:space="preserve">Место представления (приема) документов: 040600, </w:t>
      </w:r>
      <w:proofErr w:type="spellStart"/>
      <w:r w:rsidRPr="001769A2">
        <w:rPr>
          <w:rFonts w:ascii="Times New Roman" w:eastAsia="Times New Roman" w:hAnsi="Times New Roman" w:cs="Times New Roman"/>
        </w:rPr>
        <w:t>Алматинская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область, </w:t>
      </w:r>
      <w:proofErr w:type="spellStart"/>
      <w:r w:rsidRPr="001769A2">
        <w:rPr>
          <w:rFonts w:ascii="Times New Roman" w:eastAsia="Times New Roman" w:hAnsi="Times New Roman" w:cs="Times New Roman"/>
        </w:rPr>
        <w:t>Жамбылский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район, село </w:t>
      </w:r>
      <w:proofErr w:type="spellStart"/>
      <w:r w:rsidRPr="001769A2">
        <w:rPr>
          <w:rFonts w:ascii="Times New Roman" w:eastAsia="Times New Roman" w:hAnsi="Times New Roman" w:cs="Times New Roman"/>
        </w:rPr>
        <w:t>Узынагаш</w:t>
      </w:r>
      <w:proofErr w:type="spellEnd"/>
      <w:r w:rsidRPr="001769A2">
        <w:rPr>
          <w:rFonts w:ascii="Times New Roman" w:eastAsia="Times New Roman" w:hAnsi="Times New Roman" w:cs="Times New Roman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769A2">
        <w:rPr>
          <w:rFonts w:ascii="Times New Roman" w:eastAsia="Times New Roman" w:hAnsi="Times New Roman" w:cs="Times New Roman"/>
        </w:rPr>
        <w:t>Жамбылская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769A2">
        <w:rPr>
          <w:rFonts w:ascii="Times New Roman" w:eastAsia="Times New Roman" w:hAnsi="Times New Roman" w:cs="Times New Roman"/>
        </w:rPr>
        <w:t>Алматинской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области» </w:t>
      </w:r>
      <w:proofErr w:type="spellStart"/>
      <w:r w:rsidRPr="001769A2">
        <w:rPr>
          <w:rFonts w:ascii="Times New Roman" w:eastAsia="Times New Roman" w:hAnsi="Times New Roman" w:cs="Times New Roman"/>
        </w:rPr>
        <w:t>акимата</w:t>
      </w:r>
      <w:proofErr w:type="spellEnd"/>
      <w:r w:rsidR="00CF6E01" w:rsidRPr="001769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769A2">
        <w:rPr>
          <w:rFonts w:ascii="Times New Roman" w:eastAsia="Times New Roman" w:hAnsi="Times New Roman" w:cs="Times New Roman"/>
        </w:rPr>
        <w:t>Алматинской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области, в кабинет главного бухгалтера.</w:t>
      </w:r>
    </w:p>
    <w:p w:rsidR="000A4E8B" w:rsidRDefault="00BF2CCB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              Окончательный срок подачи ценовых</w:t>
      </w:r>
      <w:r w:rsidR="00CF6E01" w:rsidRPr="001769A2">
        <w:rPr>
          <w:rFonts w:ascii="Times New Roman" w:eastAsia="Times New Roman" w:hAnsi="Times New Roman" w:cs="Times New Roman"/>
        </w:rPr>
        <w:t xml:space="preserve"> предложений - до 12-30 часов </w:t>
      </w:r>
    </w:p>
    <w:p w:rsidR="00AC3B81" w:rsidRPr="001769A2" w:rsidRDefault="00AC3B81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F2CCB" w:rsidRDefault="00CF6E01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«</w:t>
      </w:r>
      <w:r w:rsidR="00DE5233">
        <w:rPr>
          <w:rFonts w:ascii="Times New Roman" w:eastAsia="Times New Roman" w:hAnsi="Times New Roman" w:cs="Times New Roman"/>
        </w:rPr>
        <w:t>15</w:t>
      </w:r>
      <w:r w:rsidR="0025591A" w:rsidRPr="001769A2">
        <w:rPr>
          <w:rFonts w:ascii="Times New Roman" w:eastAsia="Times New Roman" w:hAnsi="Times New Roman" w:cs="Times New Roman"/>
        </w:rPr>
        <w:t>»</w:t>
      </w:r>
      <w:r w:rsidR="002746A3" w:rsidRPr="001769A2">
        <w:rPr>
          <w:rFonts w:ascii="Times New Roman" w:eastAsia="Times New Roman" w:hAnsi="Times New Roman" w:cs="Times New Roman"/>
        </w:rPr>
        <w:t xml:space="preserve"> </w:t>
      </w:r>
      <w:proofErr w:type="gramStart"/>
      <w:r w:rsidR="005E4BEC">
        <w:rPr>
          <w:rFonts w:ascii="Times New Roman" w:eastAsia="Times New Roman" w:hAnsi="Times New Roman" w:cs="Times New Roman"/>
        </w:rPr>
        <w:t>февраля</w:t>
      </w:r>
      <w:r w:rsidR="00BF2CCB" w:rsidRPr="001769A2">
        <w:rPr>
          <w:rFonts w:ascii="Times New Roman" w:eastAsia="Times New Roman" w:hAnsi="Times New Roman" w:cs="Times New Roman"/>
        </w:rPr>
        <w:t>  202</w:t>
      </w:r>
      <w:r w:rsidR="00166C0E" w:rsidRPr="001769A2">
        <w:rPr>
          <w:rFonts w:ascii="Times New Roman" w:eastAsia="Times New Roman" w:hAnsi="Times New Roman" w:cs="Times New Roman"/>
        </w:rPr>
        <w:t>1</w:t>
      </w:r>
      <w:proofErr w:type="gramEnd"/>
      <w:r w:rsidR="00BF2CCB" w:rsidRPr="001769A2">
        <w:rPr>
          <w:rFonts w:ascii="Times New Roman" w:eastAsia="Times New Roman" w:hAnsi="Times New Roman" w:cs="Times New Roman"/>
        </w:rPr>
        <w:t xml:space="preserve"> года.</w:t>
      </w:r>
    </w:p>
    <w:p w:rsidR="004B4754" w:rsidRDefault="004B4754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C3B81" w:rsidRPr="001769A2" w:rsidRDefault="00AC3B81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F2CCB" w:rsidRPr="001769A2" w:rsidRDefault="00BF2CCB" w:rsidP="00AC3B81">
      <w:pPr>
        <w:numPr>
          <w:ilvl w:val="0"/>
          <w:numId w:val="3"/>
        </w:num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Дата, время и место вскрытия конвертов с ценовыми предложениями:</w:t>
      </w:r>
    </w:p>
    <w:p w:rsidR="00BF2CCB" w:rsidRPr="001769A2" w:rsidRDefault="00BF2CCB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lastRenderedPageBreak/>
        <w:t>Конверты с ценовыми предложениями вскрываются комиссией в 1</w:t>
      </w:r>
      <w:r w:rsidR="000A4E8B" w:rsidRPr="001769A2">
        <w:rPr>
          <w:rFonts w:ascii="Times New Roman" w:eastAsia="Times New Roman" w:hAnsi="Times New Roman" w:cs="Times New Roman"/>
        </w:rPr>
        <w:t>5</w:t>
      </w:r>
      <w:r w:rsidRPr="001769A2">
        <w:rPr>
          <w:rFonts w:ascii="Times New Roman" w:eastAsia="Times New Roman" w:hAnsi="Times New Roman" w:cs="Times New Roman"/>
        </w:rPr>
        <w:t xml:space="preserve">-00 часов по адресу: 040600, </w:t>
      </w:r>
      <w:proofErr w:type="spellStart"/>
      <w:r w:rsidRPr="001769A2">
        <w:rPr>
          <w:rFonts w:ascii="Times New Roman" w:eastAsia="Times New Roman" w:hAnsi="Times New Roman" w:cs="Times New Roman"/>
        </w:rPr>
        <w:t>Алматинская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область, </w:t>
      </w:r>
      <w:proofErr w:type="spellStart"/>
      <w:r w:rsidRPr="001769A2">
        <w:rPr>
          <w:rFonts w:ascii="Times New Roman" w:eastAsia="Times New Roman" w:hAnsi="Times New Roman" w:cs="Times New Roman"/>
        </w:rPr>
        <w:t>Жамбылский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район, село </w:t>
      </w:r>
      <w:proofErr w:type="spellStart"/>
      <w:r w:rsidRPr="001769A2">
        <w:rPr>
          <w:rFonts w:ascii="Times New Roman" w:eastAsia="Times New Roman" w:hAnsi="Times New Roman" w:cs="Times New Roman"/>
        </w:rPr>
        <w:t>Узынагаш</w:t>
      </w:r>
      <w:proofErr w:type="spellEnd"/>
      <w:r w:rsidRPr="001769A2">
        <w:rPr>
          <w:rFonts w:ascii="Times New Roman" w:eastAsia="Times New Roman" w:hAnsi="Times New Roman" w:cs="Times New Roman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769A2">
        <w:rPr>
          <w:rFonts w:ascii="Times New Roman" w:eastAsia="Times New Roman" w:hAnsi="Times New Roman" w:cs="Times New Roman"/>
        </w:rPr>
        <w:t>Жамбылская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769A2">
        <w:rPr>
          <w:rFonts w:ascii="Times New Roman" w:eastAsia="Times New Roman" w:hAnsi="Times New Roman" w:cs="Times New Roman"/>
        </w:rPr>
        <w:t>Алматинской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области» </w:t>
      </w:r>
      <w:proofErr w:type="spellStart"/>
      <w:r w:rsidRPr="001769A2">
        <w:rPr>
          <w:rFonts w:ascii="Times New Roman" w:eastAsia="Times New Roman" w:hAnsi="Times New Roman" w:cs="Times New Roman"/>
        </w:rPr>
        <w:t>акиматаАлматинской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области, в кабинете провизора.</w:t>
      </w:r>
    </w:p>
    <w:p w:rsidR="00BF2CCB" w:rsidRPr="001769A2" w:rsidRDefault="00BF2CCB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1769A2">
        <w:rPr>
          <w:rFonts w:ascii="Times New Roman" w:eastAsia="Times New Roman" w:hAnsi="Times New Roman" w:cs="Times New Roman"/>
          <w:b/>
          <w:bCs/>
        </w:rPr>
        <w:t xml:space="preserve">040600, 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Алматинская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область, 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Жамбылский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район, село 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Узынагаш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Жамбылская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Алматинской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области» 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акиматаАлматинской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области, со следующим содержанием: </w:t>
      </w:r>
      <w:r w:rsidRPr="001769A2">
        <w:rPr>
          <w:rFonts w:ascii="Times New Roman" w:eastAsia="Times New Roman" w:hAnsi="Times New Roman" w:cs="Times New Roman"/>
          <w:b/>
          <w:bCs/>
          <w:i/>
          <w:iCs/>
        </w:rPr>
        <w:t xml:space="preserve">Номер и дату объявления заполнить, дата вскрытия конвертов в «___» __________ </w:t>
      </w:r>
      <w:proofErr w:type="gramStart"/>
      <w:r w:rsidRPr="001769A2">
        <w:rPr>
          <w:rFonts w:ascii="Times New Roman" w:eastAsia="Times New Roman" w:hAnsi="Times New Roman" w:cs="Times New Roman"/>
          <w:b/>
          <w:bCs/>
          <w:i/>
          <w:iCs/>
        </w:rPr>
        <w:t>202</w:t>
      </w:r>
      <w:r w:rsidR="00CB7743" w:rsidRPr="001769A2">
        <w:rPr>
          <w:rFonts w:ascii="Times New Roman" w:eastAsia="Times New Roman" w:hAnsi="Times New Roman" w:cs="Times New Roman"/>
          <w:b/>
          <w:bCs/>
          <w:i/>
          <w:iCs/>
        </w:rPr>
        <w:t>1</w:t>
      </w:r>
      <w:r w:rsidRPr="001769A2">
        <w:rPr>
          <w:rFonts w:ascii="Times New Roman" w:eastAsia="Times New Roman" w:hAnsi="Times New Roman" w:cs="Times New Roman"/>
          <w:b/>
          <w:bCs/>
          <w:i/>
          <w:iCs/>
        </w:rPr>
        <w:t>  года</w:t>
      </w:r>
      <w:proofErr w:type="gramEnd"/>
      <w:r w:rsidRPr="001769A2">
        <w:rPr>
          <w:rFonts w:ascii="Times New Roman" w:eastAsia="Times New Roman" w:hAnsi="Times New Roman" w:cs="Times New Roman"/>
          <w:b/>
          <w:bCs/>
          <w:i/>
          <w:iCs/>
        </w:rPr>
        <w:t xml:space="preserve"> в _______ часов.</w:t>
      </w:r>
    </w:p>
    <w:p w:rsidR="00BF2CCB" w:rsidRPr="001769A2" w:rsidRDefault="00BF2CCB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  <w:i/>
          <w:iCs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BF2CCB" w:rsidRPr="001769A2" w:rsidRDefault="00BF2CCB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  <w:i/>
          <w:iCs/>
        </w:rPr>
        <w:t>Тел. для справок: 7</w:t>
      </w:r>
      <w:r w:rsidR="00D13D33" w:rsidRPr="001769A2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1769A2">
        <w:rPr>
          <w:rFonts w:ascii="Times New Roman" w:eastAsia="Times New Roman" w:hAnsi="Times New Roman" w:cs="Times New Roman"/>
          <w:b/>
          <w:bCs/>
          <w:i/>
          <w:iCs/>
        </w:rPr>
        <w:t>(72770) 2-34-51</w:t>
      </w:r>
    </w:p>
    <w:p w:rsidR="002A1329" w:rsidRDefault="002A1329" w:rsidP="00273691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:rsidR="004B4754" w:rsidRDefault="004B4754" w:rsidP="00273691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tbl>
      <w:tblPr>
        <w:tblW w:w="8841" w:type="dxa"/>
        <w:tblInd w:w="113" w:type="dxa"/>
        <w:tblLook w:val="04A0" w:firstRow="1" w:lastRow="0" w:firstColumn="1" w:lastColumn="0" w:noHBand="0" w:noVBand="1"/>
      </w:tblPr>
      <w:tblGrid>
        <w:gridCol w:w="679"/>
        <w:gridCol w:w="2569"/>
        <w:gridCol w:w="1219"/>
        <w:gridCol w:w="1333"/>
        <w:gridCol w:w="1896"/>
        <w:gridCol w:w="1762"/>
      </w:tblGrid>
      <w:tr w:rsidR="004B4754" w:rsidRPr="00AC3B81" w:rsidTr="004B4754">
        <w:trPr>
          <w:trHeight w:val="8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754" w:rsidRPr="00893445" w:rsidRDefault="004B4754" w:rsidP="004B4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44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754" w:rsidRPr="00893445" w:rsidRDefault="004B4754" w:rsidP="004B4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445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754" w:rsidRPr="00893445" w:rsidRDefault="004B4754" w:rsidP="004B4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445">
              <w:rPr>
                <w:rFonts w:ascii="Times New Roman" w:hAnsi="Times New Roman" w:cs="Times New Roman"/>
                <w:b/>
              </w:rPr>
              <w:t>Единица</w:t>
            </w:r>
          </w:p>
          <w:p w:rsidR="004B4754" w:rsidRPr="00893445" w:rsidRDefault="004B4754" w:rsidP="004B4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445">
              <w:rPr>
                <w:rFonts w:ascii="Times New Roman" w:hAnsi="Times New Roman" w:cs="Times New Roman"/>
                <w:b/>
              </w:rPr>
              <w:t>измерения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754" w:rsidRPr="00893445" w:rsidRDefault="004B4754" w:rsidP="004B4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445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754" w:rsidRPr="00893445" w:rsidRDefault="004B4754" w:rsidP="004B4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445">
              <w:rPr>
                <w:rFonts w:ascii="Times New Roman" w:hAnsi="Times New Roman" w:cs="Times New Roman"/>
                <w:b/>
              </w:rPr>
              <w:t>Цена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754" w:rsidRPr="00893445" w:rsidRDefault="004B4754" w:rsidP="004B475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93445">
              <w:rPr>
                <w:rFonts w:ascii="Times New Roman" w:hAnsi="Times New Roman" w:cs="Times New Roman"/>
                <w:b/>
                <w:lang w:val="kk-KZ"/>
              </w:rPr>
              <w:t>Сумма</w:t>
            </w:r>
          </w:p>
        </w:tc>
      </w:tr>
      <w:tr w:rsidR="004B4754" w:rsidRPr="00AC3B81" w:rsidTr="004B475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 xml:space="preserve">Щипцы </w:t>
            </w:r>
            <w:proofErr w:type="spellStart"/>
            <w:r w:rsidRPr="00AC3B81">
              <w:rPr>
                <w:rFonts w:ascii="Times New Roman" w:eastAsia="Times New Roman" w:hAnsi="Times New Roman" w:cs="Times New Roman"/>
              </w:rPr>
              <w:t>Мюзо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81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21 654,00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216 540,00</w:t>
            </w:r>
          </w:p>
        </w:tc>
      </w:tr>
      <w:tr w:rsidR="004B4754" w:rsidRPr="00AC3B81" w:rsidTr="004B475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Пулевые щипцы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81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10 378,80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166 060,80</w:t>
            </w:r>
          </w:p>
        </w:tc>
      </w:tr>
      <w:tr w:rsidR="004B4754" w:rsidRPr="00AC3B81" w:rsidTr="004B475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Ножницы для резки перевязочного материала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81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9 266,40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18 532,80</w:t>
            </w:r>
          </w:p>
        </w:tc>
      </w:tr>
      <w:tr w:rsidR="004B4754" w:rsidRPr="00AC3B81" w:rsidTr="004B4754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 xml:space="preserve">Зажим кровоостанавливающий зубчатый изогнутый </w:t>
            </w:r>
            <w:proofErr w:type="spellStart"/>
            <w:r w:rsidRPr="00AC3B81">
              <w:rPr>
                <w:rFonts w:ascii="Times New Roman" w:eastAsia="Times New Roman" w:hAnsi="Times New Roman" w:cs="Times New Roman"/>
              </w:rPr>
              <w:t>Шамле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6 847,20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68 472,00</w:t>
            </w:r>
          </w:p>
        </w:tc>
      </w:tr>
      <w:tr w:rsidR="004B4754" w:rsidRPr="00AC3B81" w:rsidTr="004B4754">
        <w:trPr>
          <w:trHeight w:val="2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Зажим Микулича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81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7 765,20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155 304,00</w:t>
            </w:r>
          </w:p>
        </w:tc>
      </w:tr>
      <w:tr w:rsidR="004B4754" w:rsidRPr="00AC3B81" w:rsidTr="004B475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Зажим длинный мягкий изогнутый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81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7 851,60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157 032,00</w:t>
            </w:r>
          </w:p>
        </w:tc>
      </w:tr>
      <w:tr w:rsidR="004B4754" w:rsidRPr="00AC3B81" w:rsidTr="004B475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81">
              <w:rPr>
                <w:rFonts w:ascii="Times New Roman" w:eastAsia="Times New Roman" w:hAnsi="Times New Roman" w:cs="Times New Roman"/>
              </w:rPr>
              <w:t>Корнцаг</w:t>
            </w:r>
            <w:proofErr w:type="spellEnd"/>
            <w:r w:rsidRPr="00AC3B81">
              <w:rPr>
                <w:rFonts w:ascii="Times New Roman" w:eastAsia="Times New Roman" w:hAnsi="Times New Roman" w:cs="Times New Roman"/>
              </w:rPr>
              <w:t xml:space="preserve"> изогнутый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81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9 126,00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182 520,00</w:t>
            </w:r>
          </w:p>
        </w:tc>
      </w:tr>
      <w:tr w:rsidR="004B4754" w:rsidRPr="00AC3B81" w:rsidTr="004B475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Зажим мягкий короткий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81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6 620,40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198 612,00</w:t>
            </w:r>
          </w:p>
        </w:tc>
      </w:tr>
      <w:tr w:rsidR="004B4754" w:rsidRPr="00AC3B81" w:rsidTr="004B475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 xml:space="preserve">Зажим </w:t>
            </w:r>
            <w:proofErr w:type="spellStart"/>
            <w:r w:rsidRPr="00AC3B81">
              <w:rPr>
                <w:rFonts w:ascii="Times New Roman" w:eastAsia="Times New Roman" w:hAnsi="Times New Roman" w:cs="Times New Roman"/>
              </w:rPr>
              <w:t>Кохера</w:t>
            </w:r>
            <w:proofErr w:type="spellEnd"/>
            <w:r w:rsidRPr="00AC3B81">
              <w:rPr>
                <w:rFonts w:ascii="Times New Roman" w:eastAsia="Times New Roman" w:hAnsi="Times New Roman" w:cs="Times New Roman"/>
              </w:rPr>
              <w:t xml:space="preserve"> изогнутый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81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6 739,20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134 784,00</w:t>
            </w:r>
          </w:p>
        </w:tc>
      </w:tr>
      <w:tr w:rsidR="004B4754" w:rsidRPr="00AC3B81" w:rsidTr="004B475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Пинцет лапчатый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81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6 242,40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62 424,00</w:t>
            </w:r>
          </w:p>
        </w:tc>
      </w:tr>
      <w:tr w:rsidR="004B4754" w:rsidRPr="00AC3B81" w:rsidTr="004B475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Бикс круглая стерилизационная без фильтра объем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81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23 544,00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117 720,00</w:t>
            </w:r>
          </w:p>
        </w:tc>
      </w:tr>
      <w:tr w:rsidR="004B4754" w:rsidRPr="00AC3B81" w:rsidTr="004B475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Бикс круглая стерилизационная с фильтром объем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81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24 408,00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122 040,00</w:t>
            </w:r>
          </w:p>
        </w:tc>
      </w:tr>
      <w:tr w:rsidR="004B4754" w:rsidRPr="00AC3B81" w:rsidTr="004B4754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3B81">
              <w:rPr>
                <w:rFonts w:ascii="Times New Roman" w:eastAsia="Times New Roman" w:hAnsi="Times New Roman" w:cs="Times New Roman"/>
                <w:color w:val="000000"/>
              </w:rPr>
              <w:t>Термоконтейнеры</w:t>
            </w:r>
            <w:proofErr w:type="spellEnd"/>
            <w:r w:rsidRPr="00AC3B81">
              <w:rPr>
                <w:rFonts w:ascii="Times New Roman" w:eastAsia="Times New Roman" w:hAnsi="Times New Roman" w:cs="Times New Roman"/>
                <w:color w:val="000000"/>
              </w:rPr>
              <w:t xml:space="preserve"> для транспортировки анализов 9 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81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37 368,00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747 360,00</w:t>
            </w:r>
          </w:p>
        </w:tc>
      </w:tr>
      <w:tr w:rsidR="004B4754" w:rsidRPr="00AC3B81" w:rsidTr="004B4754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Бикс круглая стерилизационная без фильтра объем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81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20 844,00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104 220,00</w:t>
            </w:r>
          </w:p>
        </w:tc>
      </w:tr>
      <w:tr w:rsidR="004B4754" w:rsidRPr="00AC3B81" w:rsidTr="004B4754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Сосудистые ножницы изогнутые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81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6 912,00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34 560,00</w:t>
            </w:r>
          </w:p>
        </w:tc>
      </w:tr>
      <w:tr w:rsidR="004B4754" w:rsidRPr="00AC3B81" w:rsidTr="004B4754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lastRenderedPageBreak/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Кварц (</w:t>
            </w:r>
            <w:proofErr w:type="spellStart"/>
            <w:r w:rsidRPr="00AC3B81">
              <w:rPr>
                <w:rFonts w:ascii="Times New Roman" w:eastAsia="Times New Roman" w:hAnsi="Times New Roman" w:cs="Times New Roman"/>
                <w:color w:val="000000"/>
              </w:rPr>
              <w:t>рецилкулятор</w:t>
            </w:r>
            <w:proofErr w:type="spellEnd"/>
            <w:r w:rsidRPr="00AC3B81">
              <w:rPr>
                <w:rFonts w:ascii="Times New Roman" w:eastAsia="Times New Roman" w:hAnsi="Times New Roman" w:cs="Times New Roman"/>
                <w:color w:val="000000"/>
              </w:rPr>
              <w:t>) лампа бактерицидный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81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164 160,00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492 480,00</w:t>
            </w:r>
          </w:p>
        </w:tc>
      </w:tr>
      <w:tr w:rsidR="004B4754" w:rsidRPr="00AC3B81" w:rsidTr="004B4754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 xml:space="preserve">Ширма на колесиках 2-х </w:t>
            </w:r>
            <w:proofErr w:type="spellStart"/>
            <w:r w:rsidRPr="00AC3B81">
              <w:rPr>
                <w:rFonts w:ascii="Times New Roman" w:eastAsia="Times New Roman" w:hAnsi="Times New Roman" w:cs="Times New Roman"/>
                <w:color w:val="000000"/>
              </w:rPr>
              <w:t>створг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3B81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71 064,00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71 064,00</w:t>
            </w:r>
          </w:p>
        </w:tc>
      </w:tr>
      <w:tr w:rsidR="004B4754" w:rsidRPr="00AC3B81" w:rsidTr="004B4754">
        <w:trPr>
          <w:trHeight w:val="62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Копья для удаления инородного тела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6 382,80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63 828,00</w:t>
            </w:r>
          </w:p>
        </w:tc>
      </w:tr>
      <w:tr w:rsidR="004B4754" w:rsidRPr="00AC3B81" w:rsidTr="004B475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 Крючки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4 784,40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47 844,00</w:t>
            </w:r>
          </w:p>
        </w:tc>
      </w:tr>
      <w:tr w:rsidR="004B4754" w:rsidRPr="00AC3B81" w:rsidTr="004B4754">
        <w:trPr>
          <w:trHeight w:val="23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Конический зонд слезного канала №1,2,3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2 559,60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38 394,00</w:t>
            </w:r>
          </w:p>
        </w:tc>
      </w:tr>
      <w:tr w:rsidR="004B4754" w:rsidRPr="00AC3B81" w:rsidTr="004B4754">
        <w:trPr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Шапочка клип-берет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20000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840 000,00</w:t>
            </w:r>
          </w:p>
        </w:tc>
      </w:tr>
      <w:tr w:rsidR="004B4754" w:rsidRPr="00AC3B81" w:rsidTr="004B475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Халат хирургический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5000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1 440,00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7 200 000,00</w:t>
            </w:r>
          </w:p>
        </w:tc>
      </w:tr>
      <w:tr w:rsidR="004B4754" w:rsidRPr="00AC3B81" w:rsidTr="004B4754">
        <w:trPr>
          <w:trHeight w:val="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 xml:space="preserve">Маска 2-х, 3-х, 4-х </w:t>
            </w:r>
            <w:proofErr w:type="spellStart"/>
            <w:r w:rsidRPr="00AC3B81">
              <w:rPr>
                <w:rFonts w:ascii="Times New Roman" w:eastAsia="Times New Roman" w:hAnsi="Times New Roman" w:cs="Times New Roman"/>
                <w:color w:val="000000"/>
              </w:rPr>
              <w:t>слойная</w:t>
            </w:r>
            <w:proofErr w:type="spellEnd"/>
            <w:r w:rsidRPr="00AC3B81">
              <w:rPr>
                <w:rFonts w:ascii="Times New Roman" w:eastAsia="Times New Roman" w:hAnsi="Times New Roman" w:cs="Times New Roman"/>
                <w:color w:val="000000"/>
              </w:rPr>
              <w:t xml:space="preserve"> на резинках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3B81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60000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3 960000</w:t>
            </w:r>
          </w:p>
        </w:tc>
      </w:tr>
      <w:tr w:rsidR="004B4754" w:rsidRPr="00AC3B81" w:rsidTr="004B4754">
        <w:trPr>
          <w:trHeight w:val="1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Офтальмоскоп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3B81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656 400,00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1 312 800,00</w:t>
            </w:r>
          </w:p>
        </w:tc>
      </w:tr>
      <w:tr w:rsidR="004B4754" w:rsidRPr="00AC3B81" w:rsidTr="004B475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 xml:space="preserve">Инсулиновый шприц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31 200,00</w:t>
            </w:r>
          </w:p>
        </w:tc>
      </w:tr>
      <w:tr w:rsidR="004B4754" w:rsidRPr="00AC3B81" w:rsidTr="004B475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Передвижной смотровой медицинский (гинекологический) светильник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3B81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1 369 200,00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1 369 200,00</w:t>
            </w:r>
          </w:p>
        </w:tc>
      </w:tr>
      <w:tr w:rsidR="004B4754" w:rsidRPr="00AC3B81" w:rsidTr="004B475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 xml:space="preserve">Тонометр по </w:t>
            </w:r>
            <w:proofErr w:type="spellStart"/>
            <w:r w:rsidRPr="00AC3B81">
              <w:rPr>
                <w:rFonts w:ascii="Times New Roman" w:eastAsia="Times New Roman" w:hAnsi="Times New Roman" w:cs="Times New Roman"/>
                <w:color w:val="000000"/>
              </w:rPr>
              <w:t>Маклакову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3B81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58 320,00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58 320,00</w:t>
            </w:r>
          </w:p>
        </w:tc>
      </w:tr>
      <w:tr w:rsidR="004B4754" w:rsidRPr="00AC3B81" w:rsidTr="004B4754">
        <w:trPr>
          <w:trHeight w:val="20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Сосудистый пинцет 200 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3B81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21 090,00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105 450,00</w:t>
            </w:r>
          </w:p>
        </w:tc>
      </w:tr>
      <w:tr w:rsidR="004B4754" w:rsidRPr="00AC3B81" w:rsidTr="004B475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Диссектор с замком размер 180мм-220мм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3B81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13 908,00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55 632,00</w:t>
            </w:r>
          </w:p>
        </w:tc>
      </w:tr>
      <w:tr w:rsidR="004B4754" w:rsidRPr="00AC3B81" w:rsidTr="004B475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Мячик с ручкой резиновый большой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3B81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48 000,00</w:t>
            </w:r>
          </w:p>
        </w:tc>
      </w:tr>
      <w:tr w:rsidR="004B4754" w:rsidRPr="00AC3B81" w:rsidTr="004B475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Тележка для ЛС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3B81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B8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350000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>350000</w:t>
            </w:r>
          </w:p>
        </w:tc>
      </w:tr>
      <w:tr w:rsidR="004B4754" w:rsidRPr="00AC3B81" w:rsidTr="004B4754">
        <w:trPr>
          <w:trHeight w:val="2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3B81">
              <w:rPr>
                <w:rFonts w:ascii="Times New Roman" w:eastAsia="Times New Roman" w:hAnsi="Times New Roman" w:cs="Times New Roman"/>
              </w:rPr>
              <w:t xml:space="preserve">Итого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754" w:rsidRPr="00AC3B81" w:rsidRDefault="004B4754" w:rsidP="004B4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754" w:rsidRPr="00AC3B81" w:rsidRDefault="004B4754" w:rsidP="004B4754">
            <w:pPr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AC3B81">
              <w:rPr>
                <w:rFonts w:ascii="Calibri" w:hAnsi="Calibri" w:cs="Calibri"/>
                <w:b/>
                <w:color w:val="000000"/>
              </w:rPr>
              <w:t>18 530 393,60</w:t>
            </w:r>
          </w:p>
          <w:p w:rsidR="004B4754" w:rsidRPr="00AC3B81" w:rsidRDefault="004B4754" w:rsidP="004B4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</w:tbl>
    <w:p w:rsidR="00AC3B81" w:rsidRPr="00AC3B81" w:rsidRDefault="00AC3B81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AC3B81" w:rsidRDefault="00AC3B81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4B4754" w:rsidRPr="00AC3B81" w:rsidRDefault="004B4754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BF2CCB" w:rsidRDefault="00BF2CCB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1769A2">
        <w:rPr>
          <w:rFonts w:ascii="Times New Roman" w:eastAsia="Times New Roman" w:hAnsi="Times New Roman" w:cs="Times New Roman"/>
          <w:b/>
          <w:bCs/>
          <w:i/>
          <w:iCs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AC3B81" w:rsidRDefault="00AC3B81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B4754" w:rsidRPr="001769A2" w:rsidRDefault="004B4754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C3B81" w:rsidRDefault="00BF2CCB" w:rsidP="00AC3B81">
      <w:pPr>
        <w:numPr>
          <w:ilvl w:val="0"/>
          <w:numId w:val="4"/>
        </w:num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</w:p>
    <w:p w:rsidR="004B4754" w:rsidRDefault="004B4754" w:rsidP="00AC3B81">
      <w:pPr>
        <w:shd w:val="clear" w:color="auto" w:fill="FFFFFF"/>
        <w:spacing w:after="0" w:line="270" w:lineRule="atLeast"/>
        <w:ind w:left="15"/>
        <w:jc w:val="both"/>
        <w:rPr>
          <w:rFonts w:ascii="Times New Roman" w:eastAsia="Times New Roman" w:hAnsi="Times New Roman" w:cs="Times New Roman"/>
        </w:rPr>
      </w:pPr>
    </w:p>
    <w:p w:rsidR="00E738CB" w:rsidRPr="001769A2" w:rsidRDefault="00BF2CCB" w:rsidP="004B4754">
      <w:pPr>
        <w:shd w:val="clear" w:color="auto" w:fill="FFFFFF"/>
        <w:spacing w:after="0" w:line="270" w:lineRule="atLeast"/>
        <w:ind w:left="15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 xml:space="preserve">      1) наличие регистрации лекарственных средств, изделий медицинского </w:t>
      </w:r>
      <w:proofErr w:type="gramStart"/>
      <w:r w:rsidRPr="001769A2">
        <w:rPr>
          <w:rFonts w:ascii="Times New Roman" w:eastAsia="Times New Roman" w:hAnsi="Times New Roman" w:cs="Times New Roman"/>
        </w:rPr>
        <w:t xml:space="preserve">назначения, </w:t>
      </w:r>
      <w:r w:rsidR="004B4754">
        <w:rPr>
          <w:rFonts w:ascii="Times New Roman" w:eastAsia="Times New Roman" w:hAnsi="Times New Roman" w:cs="Times New Roman"/>
          <w:lang w:val="kk-KZ"/>
        </w:rPr>
        <w:t xml:space="preserve">  </w:t>
      </w:r>
      <w:proofErr w:type="gramEnd"/>
      <w:r w:rsidR="004B4754">
        <w:rPr>
          <w:rFonts w:ascii="Times New Roman" w:eastAsia="Times New Roman" w:hAnsi="Times New Roman" w:cs="Times New Roman"/>
          <w:lang w:val="kk-KZ"/>
        </w:rPr>
        <w:t xml:space="preserve">                    </w:t>
      </w:r>
      <w:r w:rsidRPr="001769A2">
        <w:rPr>
          <w:rFonts w:ascii="Times New Roman" w:eastAsia="Times New Roman" w:hAnsi="Times New Roman" w:cs="Times New Roman"/>
        </w:rPr>
        <w:t xml:space="preserve">профилактических (иммунобиологических, диагностических, дезинфицирующих) </w:t>
      </w:r>
    </w:p>
    <w:p w:rsidR="00BF2CCB" w:rsidRPr="001769A2" w:rsidRDefault="00BF2CCB" w:rsidP="00AC3B81">
      <w:pPr>
        <w:shd w:val="clear" w:color="auto" w:fill="FFFFFF"/>
        <w:spacing w:after="0" w:line="270" w:lineRule="atLeast"/>
        <w:ind w:left="397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1769A2">
        <w:rPr>
          <w:rFonts w:ascii="Times New Roman" w:eastAsia="Times New Roman" w:hAnsi="Times New Roman" w:cs="Times New Roman"/>
        </w:rPr>
        <w:t>орфанных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препаратов, включенных в перечень </w:t>
      </w:r>
      <w:proofErr w:type="spellStart"/>
      <w:r w:rsidRPr="001769A2">
        <w:rPr>
          <w:rFonts w:ascii="Times New Roman" w:eastAsia="Times New Roman" w:hAnsi="Times New Roman" w:cs="Times New Roman"/>
        </w:rPr>
        <w:t>орфанных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препаратов, </w:t>
      </w:r>
      <w:r w:rsidRPr="001769A2">
        <w:rPr>
          <w:rFonts w:ascii="Times New Roman" w:eastAsia="Times New Roman" w:hAnsi="Times New Roman" w:cs="Times New Roman"/>
          <w:b/>
          <w:bCs/>
        </w:rPr>
        <w:t>утвержденный уполномоченным органом в области здравоохранения, (</w:t>
      </w:r>
      <w:r w:rsidRPr="001769A2">
        <w:rPr>
          <w:rFonts w:ascii="Times New Roman" w:eastAsia="Times New Roman" w:hAnsi="Times New Roman" w:cs="Times New Roman"/>
          <w:b/>
          <w:bCs/>
          <w:i/>
          <w:iCs/>
          <w:u w:val="single"/>
        </w:rPr>
        <w:t xml:space="preserve">Убедительная просьба к Поставщикам: на регистрационном </w:t>
      </w:r>
      <w:r w:rsidRPr="001769A2">
        <w:rPr>
          <w:rFonts w:ascii="Times New Roman" w:eastAsia="Times New Roman" w:hAnsi="Times New Roman" w:cs="Times New Roman"/>
          <w:b/>
          <w:bCs/>
          <w:i/>
          <w:iCs/>
          <w:u w:val="single"/>
        </w:rPr>
        <w:lastRenderedPageBreak/>
        <w:t>удостоверении к ИМН и ЛС , отмечать маркером или простым карандашом номер лота на который  подается подтверждающий документ</w:t>
      </w:r>
      <w:r w:rsidRPr="001769A2">
        <w:rPr>
          <w:rFonts w:ascii="Times New Roman" w:eastAsia="Times New Roman" w:hAnsi="Times New Roman" w:cs="Times New Roman"/>
          <w:b/>
          <w:bCs/>
          <w:i/>
          <w:iCs/>
        </w:rPr>
        <w:t>)</w:t>
      </w:r>
      <w:r w:rsidRPr="001769A2">
        <w:rPr>
          <w:rFonts w:ascii="Times New Roman" w:eastAsia="Times New Roman" w:hAnsi="Times New Roman" w:cs="Times New Roman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</w:t>
      </w:r>
      <w:r w:rsidR="00AC3B81">
        <w:rPr>
          <w:rFonts w:ascii="Times New Roman" w:eastAsia="Times New Roman" w:hAnsi="Times New Roman" w:cs="Times New Roman"/>
        </w:rPr>
        <w:t xml:space="preserve">полномоченным органом в </w:t>
      </w:r>
      <w:proofErr w:type="spellStart"/>
      <w:r w:rsidR="00AC3B81">
        <w:rPr>
          <w:rFonts w:ascii="Times New Roman" w:eastAsia="Times New Roman" w:hAnsi="Times New Roman" w:cs="Times New Roman"/>
        </w:rPr>
        <w:t>области</w:t>
      </w:r>
      <w:r w:rsidRPr="001769A2">
        <w:rPr>
          <w:rFonts w:ascii="Times New Roman" w:eastAsia="Times New Roman" w:hAnsi="Times New Roman" w:cs="Times New Roman"/>
        </w:rPr>
        <w:t>здравоохранения</w:t>
      </w:r>
      <w:proofErr w:type="spellEnd"/>
      <w:r w:rsidRPr="001769A2">
        <w:rPr>
          <w:rFonts w:ascii="Times New Roman" w:eastAsia="Times New Roman" w:hAnsi="Times New Roman" w:cs="Times New Roman"/>
        </w:rPr>
        <w:t>;</w:t>
      </w:r>
      <w:r w:rsidRPr="001769A2">
        <w:rPr>
          <w:rFonts w:ascii="Times New Roman" w:eastAsia="Times New Roman" w:hAnsi="Times New Roman" w:cs="Times New Roman"/>
        </w:rPr>
        <w:br/>
        <w:t>     2) </w:t>
      </w:r>
      <w:r w:rsidRPr="001769A2">
        <w:rPr>
          <w:rFonts w:ascii="Times New Roman" w:eastAsia="Times New Roman" w:hAnsi="Times New Roman" w:cs="Times New Roman"/>
          <w:b/>
          <w:bCs/>
        </w:rPr>
        <w:t>лекарственные средства</w:t>
      </w:r>
      <w:r w:rsidRPr="001769A2">
        <w:rPr>
          <w:rFonts w:ascii="Times New Roman" w:eastAsia="Times New Roman" w:hAnsi="Times New Roman" w:cs="Times New Roman"/>
        </w:rPr>
        <w:t xml:space="preserve">, профилактические (иммунобиологические, диагностические, дезинфицирующие) </w:t>
      </w:r>
      <w:proofErr w:type="spellStart"/>
      <w:r w:rsidRPr="001769A2">
        <w:rPr>
          <w:rFonts w:ascii="Times New Roman" w:eastAsia="Times New Roman" w:hAnsi="Times New Roman" w:cs="Times New Roman"/>
        </w:rPr>
        <w:t>препараты,</w:t>
      </w:r>
      <w:r w:rsidRPr="001769A2">
        <w:rPr>
          <w:rFonts w:ascii="Times New Roman" w:eastAsia="Times New Roman" w:hAnsi="Times New Roman" w:cs="Times New Roman"/>
          <w:b/>
          <w:bCs/>
        </w:rPr>
        <w:t>изделия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медицинского назначения хранятся и транспортируются в условиях, </w:t>
      </w:r>
      <w:r w:rsidRPr="001769A2">
        <w:rPr>
          <w:rFonts w:ascii="Times New Roman" w:eastAsia="Times New Roman" w:hAnsi="Times New Roman" w:cs="Times New Roman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1769A2">
        <w:rPr>
          <w:rFonts w:ascii="Times New Roman" w:eastAsia="Times New Roman" w:hAnsi="Times New Roman" w:cs="Times New Roman"/>
          <w:b/>
          <w:bCs/>
        </w:rPr>
        <w:t>утвержденными уполномоченным органом в области здравоохранения;</w:t>
      </w:r>
      <w:r w:rsidRPr="001769A2">
        <w:rPr>
          <w:rFonts w:ascii="Times New Roman" w:eastAsia="Times New Roman" w:hAnsi="Times New Roman" w:cs="Times New Roman"/>
        </w:rPr>
        <w:br/>
        <w:t>    3) </w:t>
      </w:r>
      <w:r w:rsidRPr="001769A2">
        <w:rPr>
          <w:rFonts w:ascii="Times New Roman" w:eastAsia="Times New Roman" w:hAnsi="Times New Roman" w:cs="Times New Roman"/>
          <w:b/>
          <w:bCs/>
        </w:rPr>
        <w:t xml:space="preserve">маркировка, потребительская 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упаковка</w:t>
      </w:r>
      <w:r w:rsidRPr="001769A2">
        <w:rPr>
          <w:rFonts w:ascii="Times New Roman" w:eastAsia="Times New Roman" w:hAnsi="Times New Roman" w:cs="Times New Roman"/>
        </w:rPr>
        <w:t>и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1769A2">
        <w:rPr>
          <w:rFonts w:ascii="Times New Roman" w:eastAsia="Times New Roman" w:hAnsi="Times New Roman" w:cs="Times New Roman"/>
        </w:rPr>
        <w:br/>
        <w:t>    4) </w:t>
      </w:r>
      <w:r w:rsidRPr="001769A2">
        <w:rPr>
          <w:rFonts w:ascii="Times New Roman" w:eastAsia="Times New Roman" w:hAnsi="Times New Roman" w:cs="Times New Roman"/>
          <w:b/>
          <w:bCs/>
        </w:rPr>
        <w:t>срок годности</w:t>
      </w:r>
      <w:r w:rsidRPr="001769A2">
        <w:rPr>
          <w:rFonts w:ascii="Times New Roman" w:eastAsia="Times New Roman" w:hAnsi="Times New Roman" w:cs="Times New Roman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1769A2">
        <w:rPr>
          <w:rFonts w:ascii="Times New Roman" w:eastAsia="Times New Roman" w:hAnsi="Times New Roman" w:cs="Times New Roman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1769A2">
        <w:rPr>
          <w:rFonts w:ascii="Times New Roman" w:eastAsia="Times New Roman" w:hAnsi="Times New Roman" w:cs="Times New Roman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1769A2">
        <w:rPr>
          <w:rFonts w:ascii="Times New Roman" w:eastAsia="Times New Roman" w:hAnsi="Times New Roman" w:cs="Times New Roman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1769A2">
        <w:rPr>
          <w:rFonts w:ascii="Times New Roman" w:eastAsia="Times New Roman" w:hAnsi="Times New Roman" w:cs="Times New Roman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1769A2">
        <w:rPr>
          <w:rFonts w:ascii="Times New Roman" w:eastAsia="Times New Roman" w:hAnsi="Times New Roman" w:cs="Times New Roman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1769A2">
        <w:rPr>
          <w:rFonts w:ascii="Times New Roman" w:eastAsia="Times New Roman" w:hAnsi="Times New Roman" w:cs="Times New Roman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1769A2">
        <w:rPr>
          <w:rFonts w:ascii="Times New Roman" w:eastAsia="Times New Roman" w:hAnsi="Times New Roman" w:cs="Times New Roman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1769A2">
        <w:rPr>
          <w:rFonts w:ascii="Times New Roman" w:eastAsia="Times New Roman" w:hAnsi="Times New Roman" w:cs="Times New Roman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1769A2">
        <w:rPr>
          <w:rFonts w:ascii="Times New Roman" w:eastAsia="Times New Roman" w:hAnsi="Times New Roman" w:cs="Times New Roman"/>
        </w:rPr>
        <w:br/>
        <w:t>     7) срок годности вакцин на дату поставки единым дистрибьютором заказчику составляет:</w:t>
      </w:r>
      <w:r w:rsidRPr="001769A2">
        <w:rPr>
          <w:rFonts w:ascii="Times New Roman" w:eastAsia="Times New Roman" w:hAnsi="Times New Roman" w:cs="Times New Roman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1769A2">
        <w:rPr>
          <w:rFonts w:ascii="Times New Roman" w:eastAsia="Times New Roman" w:hAnsi="Times New Roman" w:cs="Times New Roman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1769A2">
        <w:rPr>
          <w:rFonts w:ascii="Times New Roman" w:eastAsia="Times New Roman" w:hAnsi="Times New Roman" w:cs="Times New Roman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bookmarkEnd w:id="0"/>
      <w:r w:rsidRPr="001769A2">
        <w:rPr>
          <w:rFonts w:ascii="Times New Roman" w:eastAsia="Times New Roman" w:hAnsi="Times New Roman" w:cs="Times New Roman"/>
        </w:rPr>
        <w:br/>
      </w:r>
      <w:r w:rsidRPr="001769A2">
        <w:rPr>
          <w:rFonts w:ascii="Times New Roman" w:eastAsia="Times New Roman" w:hAnsi="Times New Roman" w:cs="Times New Roman"/>
        </w:rPr>
        <w:lastRenderedPageBreak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1769A2">
        <w:rPr>
          <w:rFonts w:ascii="Times New Roman" w:eastAsia="Times New Roman" w:hAnsi="Times New Roman" w:cs="Times New Roman"/>
        </w:rPr>
        <w:t>орфанных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препаратов, включенных в перечень </w:t>
      </w:r>
      <w:proofErr w:type="spellStart"/>
      <w:r w:rsidRPr="001769A2">
        <w:rPr>
          <w:rFonts w:ascii="Times New Roman" w:eastAsia="Times New Roman" w:hAnsi="Times New Roman" w:cs="Times New Roman"/>
        </w:rPr>
        <w:t>орфанных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BF2CCB" w:rsidRPr="001769A2" w:rsidRDefault="00BF2CCB" w:rsidP="009B4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    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2634"/>
      </w:tblGrid>
      <w:tr w:rsidR="00BF2CCB" w:rsidRPr="001769A2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Приложение 12</w:t>
            </w:r>
            <w:r w:rsidRPr="001769A2">
              <w:rPr>
                <w:rFonts w:ascii="Times New Roman" w:eastAsia="Times New Roman" w:hAnsi="Times New Roman" w:cs="Times New Roman"/>
              </w:rPr>
              <w:br/>
              <w:t>к приказу Министра здравоохранения и</w:t>
            </w:r>
            <w:r w:rsidRPr="001769A2">
              <w:rPr>
                <w:rFonts w:ascii="Times New Roman" w:eastAsia="Times New Roman" w:hAnsi="Times New Roman" w:cs="Times New Roman"/>
              </w:rPr>
              <w:br/>
              <w:t>социального развития Республики Казахстан</w:t>
            </w:r>
            <w:r w:rsidRPr="001769A2">
              <w:rPr>
                <w:rFonts w:ascii="Times New Roman" w:eastAsia="Times New Roman" w:hAnsi="Times New Roman" w:cs="Times New Roman"/>
              </w:rPr>
              <w:br/>
              <w:t>от 18 января 2017 года № 20</w:t>
            </w:r>
          </w:p>
        </w:tc>
      </w:tr>
      <w:tr w:rsidR="00BF2CCB" w:rsidRPr="001769A2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Форма</w:t>
            </w:r>
          </w:p>
        </w:tc>
      </w:tr>
    </w:tbl>
    <w:p w:rsidR="00BF2CCB" w:rsidRPr="001769A2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</w:rPr>
        <w:t>               Ценовое предложение потенциального поставщика</w:t>
      </w:r>
      <w:r w:rsidRPr="001769A2">
        <w:rPr>
          <w:rFonts w:ascii="Times New Roman" w:eastAsia="Times New Roman" w:hAnsi="Times New Roman" w:cs="Times New Roman"/>
        </w:rPr>
        <w:br/>
      </w:r>
      <w:r w:rsidRPr="001769A2">
        <w:rPr>
          <w:rFonts w:ascii="Times New Roman" w:eastAsia="Times New Roman" w:hAnsi="Times New Roman" w:cs="Times New Roman"/>
          <w:b/>
          <w:bCs/>
        </w:rPr>
        <w:t>                </w:t>
      </w:r>
      <w:proofErr w:type="gramStart"/>
      <w:r w:rsidRPr="001769A2">
        <w:rPr>
          <w:rFonts w:ascii="Times New Roman" w:eastAsia="Times New Roman" w:hAnsi="Times New Roman" w:cs="Times New Roman"/>
          <w:b/>
          <w:bCs/>
        </w:rPr>
        <w:t>   (</w:t>
      </w:r>
      <w:proofErr w:type="gramEnd"/>
      <w:r w:rsidRPr="001769A2">
        <w:rPr>
          <w:rFonts w:ascii="Times New Roman" w:eastAsia="Times New Roman" w:hAnsi="Times New Roman" w:cs="Times New Roman"/>
          <w:b/>
          <w:bCs/>
        </w:rPr>
        <w:t>наименование потенциального поставщика,</w:t>
      </w:r>
      <w:r w:rsidRPr="001769A2">
        <w:rPr>
          <w:rFonts w:ascii="Times New Roman" w:eastAsia="Times New Roman" w:hAnsi="Times New Roman" w:cs="Times New Roman"/>
        </w:rPr>
        <w:br/>
      </w:r>
      <w:r w:rsidRPr="001769A2">
        <w:rPr>
          <w:rFonts w:ascii="Times New Roman" w:eastAsia="Times New Roman" w:hAnsi="Times New Roman" w:cs="Times New Roman"/>
          <w:b/>
          <w:bCs/>
        </w:rPr>
        <w:t>                   заполняется отдельно на каждый лот)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</w:rPr>
        <w:t> </w:t>
      </w:r>
      <w:r w:rsidRPr="001769A2">
        <w:rPr>
          <w:rFonts w:ascii="Times New Roman" w:eastAsia="Times New Roman" w:hAnsi="Times New Roman" w:cs="Times New Roman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  <w:b/>
                <w:bCs/>
              </w:rPr>
              <w:t>Международные непатентованные наименования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Цена ________ за единицу в ____ на условиях _______________</w:t>
            </w:r>
            <w:proofErr w:type="gramStart"/>
            <w:r w:rsidRPr="001769A2">
              <w:rPr>
                <w:rFonts w:ascii="Times New Roman" w:eastAsia="Times New Roman" w:hAnsi="Times New Roman" w:cs="Times New Roman"/>
              </w:rPr>
              <w:t>_ </w:t>
            </w:r>
            <w:r w:rsidR="00453F34" w:rsidRPr="001769A2">
              <w:rPr>
                <w:rFonts w:ascii="Times New Roman" w:eastAsia="Times New Roman" w:hAnsi="Times New Roman" w:cs="Times New Roman"/>
              </w:rPr>
              <w:t xml:space="preserve"> </w:t>
            </w:r>
            <w:r w:rsidRPr="001769A2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1769A2">
              <w:rPr>
                <w:rFonts w:ascii="Times New Roman" w:eastAsia="Times New Roman" w:hAnsi="Times New Roman" w:cs="Times New Roman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Общая цена, в _____ на условиях</w:t>
            </w:r>
            <w:r w:rsidR="00DD696F" w:rsidRPr="001769A2">
              <w:rPr>
                <w:rFonts w:ascii="Times New Roman" w:eastAsia="Times New Roman" w:hAnsi="Times New Roman" w:cs="Times New Roman"/>
              </w:rPr>
              <w:t xml:space="preserve"> </w:t>
            </w:r>
            <w:r w:rsidR="00DD696F" w:rsidRPr="001769A2">
              <w:rPr>
                <w:rFonts w:ascii="Times New Roman" w:eastAsia="Times New Roman" w:hAnsi="Times New Roman" w:cs="Times New Roman"/>
                <w:lang w:val="en-US"/>
              </w:rPr>
              <w:t>DDP</w:t>
            </w:r>
            <w:r w:rsidR="00DD696F" w:rsidRPr="001769A2">
              <w:rPr>
                <w:rFonts w:ascii="Times New Roman" w:eastAsia="Times New Roman" w:hAnsi="Times New Roman" w:cs="Times New Roman"/>
              </w:rPr>
              <w:t xml:space="preserve"> ИНКОТЕРМС </w:t>
            </w:r>
            <w:proofErr w:type="gramStart"/>
            <w:r w:rsidR="00DD696F" w:rsidRPr="001769A2">
              <w:rPr>
                <w:rFonts w:ascii="Times New Roman" w:eastAsia="Times New Roman" w:hAnsi="Times New Roman" w:cs="Times New Roman"/>
              </w:rPr>
              <w:t>2000</w:t>
            </w:r>
            <w:r w:rsidRPr="001769A2">
              <w:rPr>
                <w:rFonts w:ascii="Times New Roman" w:eastAsia="Times New Roman" w:hAnsi="Times New Roman" w:cs="Times New Roman"/>
              </w:rPr>
              <w:t> ,</w:t>
            </w:r>
            <w:proofErr w:type="gramEnd"/>
            <w:r w:rsidRPr="001769A2">
              <w:rPr>
                <w:rFonts w:ascii="Times New Roman" w:eastAsia="Times New Roman" w:hAnsi="Times New Roman" w:cs="Times New Roman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9D46A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         ______________                                   </w:t>
      </w:r>
      <w:r w:rsidR="00C0446F" w:rsidRPr="001769A2">
        <w:rPr>
          <w:rFonts w:ascii="Times New Roman" w:eastAsia="Times New Roman" w:hAnsi="Times New Roman" w:cs="Times New Roman"/>
        </w:rPr>
        <w:t xml:space="preserve">                       </w:t>
      </w:r>
      <w:r w:rsidRPr="001769A2">
        <w:rPr>
          <w:rFonts w:ascii="Times New Roman" w:eastAsia="Times New Roman" w:hAnsi="Times New Roman" w:cs="Times New Roman"/>
        </w:rPr>
        <w:t>       </w:t>
      </w:r>
      <w:r w:rsidR="00C0446F" w:rsidRPr="001769A2">
        <w:rPr>
          <w:rFonts w:ascii="Times New Roman" w:eastAsia="Times New Roman" w:hAnsi="Times New Roman" w:cs="Times New Roman"/>
        </w:rPr>
        <w:t xml:space="preserve">         </w:t>
      </w:r>
      <w:r w:rsidRPr="001769A2">
        <w:rPr>
          <w:rFonts w:ascii="Times New Roman" w:eastAsia="Times New Roman" w:hAnsi="Times New Roman" w:cs="Times New Roman"/>
        </w:rPr>
        <w:t>___________________</w:t>
      </w:r>
      <w:r w:rsidR="00C0446F" w:rsidRPr="001769A2">
        <w:rPr>
          <w:rFonts w:ascii="Times New Roman" w:eastAsia="Times New Roman" w:hAnsi="Times New Roman" w:cs="Times New Roman"/>
        </w:rPr>
        <w:t>_______________                     Печать</w:t>
      </w:r>
      <w:r w:rsidR="00C0446F" w:rsidRPr="001769A2">
        <w:rPr>
          <w:rFonts w:ascii="Times New Roman" w:eastAsia="Times New Roman" w:hAnsi="Times New Roman" w:cs="Times New Roman"/>
        </w:rPr>
        <w:br/>
        <w:t>       </w:t>
      </w:r>
      <w:proofErr w:type="gramStart"/>
      <w:r w:rsidR="00C0446F" w:rsidRPr="001769A2">
        <w:rPr>
          <w:rFonts w:ascii="Times New Roman" w:eastAsia="Times New Roman" w:hAnsi="Times New Roman" w:cs="Times New Roman"/>
        </w:rPr>
        <w:t xml:space="preserve">Подпись,   </w:t>
      </w:r>
      <w:proofErr w:type="gramEnd"/>
      <w:r w:rsidR="00C0446F" w:rsidRPr="001769A2">
        <w:rPr>
          <w:rFonts w:ascii="Times New Roman" w:eastAsia="Times New Roman" w:hAnsi="Times New Roman" w:cs="Times New Roman"/>
        </w:rPr>
        <w:t xml:space="preserve">      </w:t>
      </w:r>
      <w:r w:rsidRPr="001769A2">
        <w:rPr>
          <w:rFonts w:ascii="Times New Roman" w:eastAsia="Times New Roman" w:hAnsi="Times New Roman" w:cs="Times New Roman"/>
        </w:rPr>
        <w:t>дата         </w:t>
      </w:r>
      <w:r w:rsidR="00C0446F" w:rsidRPr="001769A2">
        <w:rPr>
          <w:rFonts w:ascii="Times New Roman" w:eastAsia="Times New Roman" w:hAnsi="Times New Roman" w:cs="Times New Roman"/>
        </w:rPr>
        <w:t xml:space="preserve">                                                            </w:t>
      </w:r>
      <w:r w:rsidRPr="001769A2">
        <w:rPr>
          <w:rFonts w:ascii="Times New Roman" w:eastAsia="Times New Roman" w:hAnsi="Times New Roman" w:cs="Times New Roman"/>
        </w:rPr>
        <w:t> </w:t>
      </w:r>
      <w:proofErr w:type="spellStart"/>
      <w:r w:rsidRPr="001769A2">
        <w:rPr>
          <w:rFonts w:ascii="Times New Roman" w:eastAsia="Times New Roman" w:hAnsi="Times New Roman" w:cs="Times New Roman"/>
        </w:rPr>
        <w:t>должность,фамилия,имя,отчество</w:t>
      </w:r>
      <w:proofErr w:type="spellEnd"/>
      <w:r w:rsidRPr="001769A2">
        <w:rPr>
          <w:rFonts w:ascii="Times New Roman" w:eastAsia="Times New Roman" w:hAnsi="Times New Roman" w:cs="Times New Roman"/>
        </w:rPr>
        <w:br/>
      </w:r>
    </w:p>
    <w:p w:rsidR="009B413B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      </w:t>
      </w:r>
    </w:p>
    <w:p w:rsidR="00BF2CCB" w:rsidRPr="001769A2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                                                         </w:t>
      </w:r>
      <w:r w:rsidR="00C0446F" w:rsidRPr="001769A2">
        <w:rPr>
          <w:rFonts w:ascii="Times New Roman" w:eastAsia="Times New Roman" w:hAnsi="Times New Roman" w:cs="Times New Roman"/>
        </w:rPr>
        <w:t xml:space="preserve">                                        </w:t>
      </w:r>
      <w:r w:rsidRPr="001769A2">
        <w:rPr>
          <w:rFonts w:ascii="Times New Roman" w:eastAsia="Times New Roman" w:hAnsi="Times New Roman" w:cs="Times New Roman"/>
        </w:rPr>
        <w:t>(при его наличии)</w:t>
      </w:r>
    </w:p>
    <w:p w:rsidR="00BF2CCB" w:rsidRPr="001769A2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769A2">
        <w:rPr>
          <w:rFonts w:ascii="Times New Roman" w:eastAsia="Times New Roman" w:hAnsi="Times New Roman" w:cs="Times New Roman"/>
        </w:rPr>
        <w:t> </w:t>
      </w:r>
      <w:r w:rsidRPr="001769A2">
        <w:rPr>
          <w:rFonts w:ascii="Times New Roman" w:eastAsia="Times New Roman" w:hAnsi="Times New Roman" w:cs="Times New Roman"/>
          <w:b/>
          <w:bCs/>
        </w:rPr>
        <w:t>Директор   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</w:rPr>
        <w:t>ГКП на ПХВ «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Жамбылская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gramStart"/>
      <w:r w:rsidRPr="001769A2">
        <w:rPr>
          <w:rFonts w:ascii="Times New Roman" w:eastAsia="Times New Roman" w:hAnsi="Times New Roman" w:cs="Times New Roman"/>
          <w:b/>
          <w:bCs/>
        </w:rPr>
        <w:t>ЦРБ»   </w:t>
      </w:r>
      <w:proofErr w:type="gramEnd"/>
      <w:r w:rsidRPr="001769A2">
        <w:rPr>
          <w:rFonts w:ascii="Times New Roman" w:eastAsia="Times New Roman" w:hAnsi="Times New Roman" w:cs="Times New Roman"/>
          <w:b/>
          <w:bCs/>
        </w:rPr>
        <w:t>                          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Сураужанов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Д.А.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</w:t>
      </w:r>
    </w:p>
    <w:sectPr w:rsidR="00BF2CCB" w:rsidRPr="001769A2" w:rsidSect="004C3D3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20A91"/>
    <w:rsid w:val="000221DA"/>
    <w:rsid w:val="00023DB9"/>
    <w:rsid w:val="000326DB"/>
    <w:rsid w:val="000339BC"/>
    <w:rsid w:val="00066418"/>
    <w:rsid w:val="00074454"/>
    <w:rsid w:val="00081773"/>
    <w:rsid w:val="00084850"/>
    <w:rsid w:val="000A08DC"/>
    <w:rsid w:val="000A4E8B"/>
    <w:rsid w:val="000B5AE3"/>
    <w:rsid w:val="000C63D0"/>
    <w:rsid w:val="000E1E72"/>
    <w:rsid w:val="000E6171"/>
    <w:rsid w:val="001118E6"/>
    <w:rsid w:val="00122C41"/>
    <w:rsid w:val="001415F6"/>
    <w:rsid w:val="00144FB4"/>
    <w:rsid w:val="001557F1"/>
    <w:rsid w:val="00166C0E"/>
    <w:rsid w:val="00173AE5"/>
    <w:rsid w:val="001769A2"/>
    <w:rsid w:val="00200690"/>
    <w:rsid w:val="002050FD"/>
    <w:rsid w:val="00207086"/>
    <w:rsid w:val="00247828"/>
    <w:rsid w:val="0025591A"/>
    <w:rsid w:val="0026250C"/>
    <w:rsid w:val="00273691"/>
    <w:rsid w:val="002746A3"/>
    <w:rsid w:val="002820A9"/>
    <w:rsid w:val="002A013D"/>
    <w:rsid w:val="002A1329"/>
    <w:rsid w:val="002B2A66"/>
    <w:rsid w:val="002B37AA"/>
    <w:rsid w:val="002C0D37"/>
    <w:rsid w:val="002C66AC"/>
    <w:rsid w:val="002C7637"/>
    <w:rsid w:val="002D3B40"/>
    <w:rsid w:val="002D3F0D"/>
    <w:rsid w:val="002D7E17"/>
    <w:rsid w:val="002F276B"/>
    <w:rsid w:val="00301B09"/>
    <w:rsid w:val="00313F79"/>
    <w:rsid w:val="0031459D"/>
    <w:rsid w:val="00373AF5"/>
    <w:rsid w:val="00397DA7"/>
    <w:rsid w:val="003B0E74"/>
    <w:rsid w:val="003C0A23"/>
    <w:rsid w:val="003C70C8"/>
    <w:rsid w:val="003D39C7"/>
    <w:rsid w:val="003E2832"/>
    <w:rsid w:val="00402171"/>
    <w:rsid w:val="004066F3"/>
    <w:rsid w:val="004329D6"/>
    <w:rsid w:val="00433590"/>
    <w:rsid w:val="00450EF5"/>
    <w:rsid w:val="00452ED2"/>
    <w:rsid w:val="00453F34"/>
    <w:rsid w:val="00455982"/>
    <w:rsid w:val="00457D02"/>
    <w:rsid w:val="00464D9A"/>
    <w:rsid w:val="0048186A"/>
    <w:rsid w:val="00490540"/>
    <w:rsid w:val="004B4754"/>
    <w:rsid w:val="004C36D8"/>
    <w:rsid w:val="004C3D35"/>
    <w:rsid w:val="004C60FB"/>
    <w:rsid w:val="004E49E0"/>
    <w:rsid w:val="004F1862"/>
    <w:rsid w:val="004F4662"/>
    <w:rsid w:val="00517F3F"/>
    <w:rsid w:val="00526BF3"/>
    <w:rsid w:val="005532B1"/>
    <w:rsid w:val="00562E10"/>
    <w:rsid w:val="005A1C86"/>
    <w:rsid w:val="005A505F"/>
    <w:rsid w:val="005C6479"/>
    <w:rsid w:val="005E1E6A"/>
    <w:rsid w:val="005E4BEC"/>
    <w:rsid w:val="00602615"/>
    <w:rsid w:val="00604FE7"/>
    <w:rsid w:val="0060510F"/>
    <w:rsid w:val="00613DD1"/>
    <w:rsid w:val="00621F8D"/>
    <w:rsid w:val="00634658"/>
    <w:rsid w:val="0063490D"/>
    <w:rsid w:val="006449B0"/>
    <w:rsid w:val="00660132"/>
    <w:rsid w:val="006705B7"/>
    <w:rsid w:val="006723CC"/>
    <w:rsid w:val="00672AF8"/>
    <w:rsid w:val="00695AAF"/>
    <w:rsid w:val="006B53FC"/>
    <w:rsid w:val="006C5C17"/>
    <w:rsid w:val="006C6D24"/>
    <w:rsid w:val="006E6A79"/>
    <w:rsid w:val="006F06BD"/>
    <w:rsid w:val="006F696A"/>
    <w:rsid w:val="006F79A5"/>
    <w:rsid w:val="007126D0"/>
    <w:rsid w:val="00715E02"/>
    <w:rsid w:val="007437E0"/>
    <w:rsid w:val="00766A4C"/>
    <w:rsid w:val="007672C6"/>
    <w:rsid w:val="00790048"/>
    <w:rsid w:val="007931AB"/>
    <w:rsid w:val="00793460"/>
    <w:rsid w:val="007B382F"/>
    <w:rsid w:val="007C23F6"/>
    <w:rsid w:val="007D37F5"/>
    <w:rsid w:val="007E0B5F"/>
    <w:rsid w:val="007F2C08"/>
    <w:rsid w:val="007F560C"/>
    <w:rsid w:val="00841B1C"/>
    <w:rsid w:val="00842EAB"/>
    <w:rsid w:val="00871F6A"/>
    <w:rsid w:val="00884427"/>
    <w:rsid w:val="00885098"/>
    <w:rsid w:val="00887F78"/>
    <w:rsid w:val="00890435"/>
    <w:rsid w:val="00894004"/>
    <w:rsid w:val="008941AD"/>
    <w:rsid w:val="008A72C8"/>
    <w:rsid w:val="008E4BB1"/>
    <w:rsid w:val="008E68A2"/>
    <w:rsid w:val="008F426E"/>
    <w:rsid w:val="009116CB"/>
    <w:rsid w:val="0092082E"/>
    <w:rsid w:val="00924DF3"/>
    <w:rsid w:val="00951B3F"/>
    <w:rsid w:val="00951E1F"/>
    <w:rsid w:val="0096782A"/>
    <w:rsid w:val="00967A7D"/>
    <w:rsid w:val="00991C77"/>
    <w:rsid w:val="009B413B"/>
    <w:rsid w:val="009B6C61"/>
    <w:rsid w:val="009D1FE1"/>
    <w:rsid w:val="009D46A5"/>
    <w:rsid w:val="009D55A0"/>
    <w:rsid w:val="009D6705"/>
    <w:rsid w:val="009E1187"/>
    <w:rsid w:val="009F2391"/>
    <w:rsid w:val="00A2346A"/>
    <w:rsid w:val="00A364BA"/>
    <w:rsid w:val="00A56190"/>
    <w:rsid w:val="00A65F20"/>
    <w:rsid w:val="00A677B4"/>
    <w:rsid w:val="00A8423B"/>
    <w:rsid w:val="00A87942"/>
    <w:rsid w:val="00A97F1E"/>
    <w:rsid w:val="00AB45A8"/>
    <w:rsid w:val="00AB6B03"/>
    <w:rsid w:val="00AC0256"/>
    <w:rsid w:val="00AC3B81"/>
    <w:rsid w:val="00B10072"/>
    <w:rsid w:val="00B10404"/>
    <w:rsid w:val="00B20001"/>
    <w:rsid w:val="00B508CF"/>
    <w:rsid w:val="00B53250"/>
    <w:rsid w:val="00B56454"/>
    <w:rsid w:val="00B71CCB"/>
    <w:rsid w:val="00B73C8E"/>
    <w:rsid w:val="00B779F3"/>
    <w:rsid w:val="00B92722"/>
    <w:rsid w:val="00B963BF"/>
    <w:rsid w:val="00BA272F"/>
    <w:rsid w:val="00BB0903"/>
    <w:rsid w:val="00BB2857"/>
    <w:rsid w:val="00BB6733"/>
    <w:rsid w:val="00BC65B2"/>
    <w:rsid w:val="00BD2750"/>
    <w:rsid w:val="00BF0C55"/>
    <w:rsid w:val="00BF2CCB"/>
    <w:rsid w:val="00BF5E19"/>
    <w:rsid w:val="00C0100D"/>
    <w:rsid w:val="00C0446F"/>
    <w:rsid w:val="00C17262"/>
    <w:rsid w:val="00C23E05"/>
    <w:rsid w:val="00C33EC2"/>
    <w:rsid w:val="00C361D7"/>
    <w:rsid w:val="00C52046"/>
    <w:rsid w:val="00C70F75"/>
    <w:rsid w:val="00C854EA"/>
    <w:rsid w:val="00C94581"/>
    <w:rsid w:val="00CB210F"/>
    <w:rsid w:val="00CB47FE"/>
    <w:rsid w:val="00CB7743"/>
    <w:rsid w:val="00CC3262"/>
    <w:rsid w:val="00CC6F14"/>
    <w:rsid w:val="00CD0CE2"/>
    <w:rsid w:val="00CE0C0E"/>
    <w:rsid w:val="00CF08A1"/>
    <w:rsid w:val="00CF3A00"/>
    <w:rsid w:val="00CF6E01"/>
    <w:rsid w:val="00D07D5C"/>
    <w:rsid w:val="00D13D33"/>
    <w:rsid w:val="00D20DAA"/>
    <w:rsid w:val="00D22DDB"/>
    <w:rsid w:val="00D239FF"/>
    <w:rsid w:val="00D552AB"/>
    <w:rsid w:val="00D762C6"/>
    <w:rsid w:val="00D83967"/>
    <w:rsid w:val="00D876C1"/>
    <w:rsid w:val="00D90F40"/>
    <w:rsid w:val="00DA30D6"/>
    <w:rsid w:val="00DA3B83"/>
    <w:rsid w:val="00DB5E9A"/>
    <w:rsid w:val="00DB6A4D"/>
    <w:rsid w:val="00DC3C2B"/>
    <w:rsid w:val="00DD696F"/>
    <w:rsid w:val="00DE470E"/>
    <w:rsid w:val="00DE5233"/>
    <w:rsid w:val="00DE644C"/>
    <w:rsid w:val="00E2118D"/>
    <w:rsid w:val="00E22405"/>
    <w:rsid w:val="00E35F1E"/>
    <w:rsid w:val="00E43C94"/>
    <w:rsid w:val="00E47F51"/>
    <w:rsid w:val="00E675A0"/>
    <w:rsid w:val="00E738CB"/>
    <w:rsid w:val="00E74D8C"/>
    <w:rsid w:val="00E9676F"/>
    <w:rsid w:val="00EA515C"/>
    <w:rsid w:val="00EC24A5"/>
    <w:rsid w:val="00EC3A1E"/>
    <w:rsid w:val="00EC64FC"/>
    <w:rsid w:val="00ED48E2"/>
    <w:rsid w:val="00F3630C"/>
    <w:rsid w:val="00F433CA"/>
    <w:rsid w:val="00F50439"/>
    <w:rsid w:val="00F539C1"/>
    <w:rsid w:val="00FB19CD"/>
    <w:rsid w:val="00FB4B83"/>
    <w:rsid w:val="00FD0B57"/>
    <w:rsid w:val="00FE22D7"/>
    <w:rsid w:val="00FE3E6E"/>
    <w:rsid w:val="00FF305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5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285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285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table" w:styleId="a9">
    <w:name w:val="Grid Table Light"/>
    <w:basedOn w:val="a1"/>
    <w:uiPriority w:val="40"/>
    <w:rsid w:val="004B47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975EF-D573-4D10-AD6D-CE7B1B8B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5</Pages>
  <Words>2025</Words>
  <Characters>11547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180</cp:revision>
  <cp:lastPrinted>2021-06-28T11:51:00Z</cp:lastPrinted>
  <dcterms:created xsi:type="dcterms:W3CDTF">2020-05-19T05:45:00Z</dcterms:created>
  <dcterms:modified xsi:type="dcterms:W3CDTF">2021-06-28T11:52:00Z</dcterms:modified>
</cp:coreProperties>
</file>