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Объявление №</w:t>
      </w:r>
      <w:r w:rsidR="00DE470E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2C7637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A83407">
        <w:rPr>
          <w:rFonts w:ascii="Times New Roman" w:eastAsia="Times New Roman" w:hAnsi="Times New Roman" w:cs="Times New Roman"/>
          <w:b/>
          <w:bCs/>
          <w:lang w:val="kk-KZ"/>
        </w:rPr>
        <w:t>/</w:t>
      </w:r>
      <w:proofErr w:type="gramStart"/>
      <w:r w:rsidR="00A83407">
        <w:rPr>
          <w:rFonts w:ascii="Times New Roman" w:eastAsia="Times New Roman" w:hAnsi="Times New Roman" w:cs="Times New Roman"/>
          <w:b/>
          <w:bCs/>
          <w:lang w:val="kk-KZ"/>
        </w:rPr>
        <w:t xml:space="preserve">1 </w:t>
      </w:r>
      <w:r w:rsidR="002C7637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</w:rPr>
        <w:t>от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DB6A4D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A83407">
        <w:rPr>
          <w:rFonts w:ascii="Times New Roman" w:eastAsia="Times New Roman" w:hAnsi="Times New Roman" w:cs="Times New Roman"/>
          <w:b/>
          <w:bCs/>
        </w:rPr>
        <w:t>11</w:t>
      </w:r>
      <w:r w:rsidR="0092082E" w:rsidRPr="001769A2">
        <w:rPr>
          <w:rFonts w:ascii="Times New Roman" w:eastAsia="Times New Roman" w:hAnsi="Times New Roman" w:cs="Times New Roman"/>
          <w:b/>
          <w:bCs/>
        </w:rPr>
        <w:t>.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0</w:t>
      </w:r>
      <w:r w:rsidR="00066418">
        <w:rPr>
          <w:rFonts w:ascii="Times New Roman" w:eastAsia="Times New Roman" w:hAnsi="Times New Roman" w:cs="Times New Roman"/>
          <w:b/>
          <w:bCs/>
        </w:rPr>
        <w:t>2</w:t>
      </w:r>
      <w:r w:rsidRPr="001769A2">
        <w:rPr>
          <w:rFonts w:ascii="Times New Roman" w:eastAsia="Times New Roman" w:hAnsi="Times New Roman" w:cs="Times New Roman"/>
          <w:b/>
          <w:bCs/>
        </w:rPr>
        <w:t>. 202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BF2CCB" w:rsidRPr="001769A2" w:rsidRDefault="00CE0C0E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1769A2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акимата</w:t>
      </w:r>
      <w:proofErr w:type="spellEnd"/>
      <w:r w:rsidR="00144FB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1769A2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1769A2" w:rsidRDefault="00BF2CCB" w:rsidP="00AC3B81">
      <w:pPr>
        <w:numPr>
          <w:ilvl w:val="0"/>
          <w:numId w:val="1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C3B81" w:rsidRDefault="00BF2CCB" w:rsidP="00AC3B81">
      <w:pPr>
        <w:numPr>
          <w:ilvl w:val="0"/>
          <w:numId w:val="1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1769A2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AC3B81" w:rsidRPr="001769A2" w:rsidRDefault="00AC3B81" w:rsidP="00AC3B81">
      <w:pPr>
        <w:shd w:val="clear" w:color="auto" w:fill="FFFFFF"/>
        <w:spacing w:after="0" w:line="270" w:lineRule="atLeast"/>
        <w:ind w:left="15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1769A2">
        <w:rPr>
          <w:rFonts w:ascii="Times New Roman" w:eastAsia="Times New Roman" w:hAnsi="Times New Roman" w:cs="Times New Roman"/>
        </w:rPr>
        <w:t>о заявке Заказчика до 31.12.2021</w:t>
      </w:r>
      <w:r w:rsidRPr="001769A2">
        <w:rPr>
          <w:rFonts w:ascii="Times New Roman" w:eastAsia="Times New Roman" w:hAnsi="Times New Roman" w:cs="Times New Roman"/>
        </w:rPr>
        <w:t xml:space="preserve"> года.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1769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 главного бухгалтера.</w:t>
      </w:r>
    </w:p>
    <w:p w:rsidR="000A4E8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1769A2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Default="00CF6E0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«</w:t>
      </w:r>
      <w:r w:rsidR="00A83407">
        <w:rPr>
          <w:rFonts w:ascii="Times New Roman" w:eastAsia="Times New Roman" w:hAnsi="Times New Roman" w:cs="Times New Roman"/>
        </w:rPr>
        <w:t>18</w:t>
      </w:r>
      <w:r w:rsidR="0025591A" w:rsidRPr="001769A2">
        <w:rPr>
          <w:rFonts w:ascii="Times New Roman" w:eastAsia="Times New Roman" w:hAnsi="Times New Roman" w:cs="Times New Roman"/>
        </w:rPr>
        <w:t>»</w:t>
      </w:r>
      <w:r w:rsidR="002746A3" w:rsidRPr="001769A2">
        <w:rPr>
          <w:rFonts w:ascii="Times New Roman" w:eastAsia="Times New Roman" w:hAnsi="Times New Roman" w:cs="Times New Roman"/>
        </w:rPr>
        <w:t xml:space="preserve"> </w:t>
      </w:r>
      <w:proofErr w:type="gramStart"/>
      <w:r w:rsidR="005E4BEC">
        <w:rPr>
          <w:rFonts w:ascii="Times New Roman" w:eastAsia="Times New Roman" w:hAnsi="Times New Roman" w:cs="Times New Roman"/>
        </w:rPr>
        <w:t>февраля</w:t>
      </w:r>
      <w:r w:rsidR="00BF2CCB" w:rsidRPr="001769A2">
        <w:rPr>
          <w:rFonts w:ascii="Times New Roman" w:eastAsia="Times New Roman" w:hAnsi="Times New Roman" w:cs="Times New Roman"/>
        </w:rPr>
        <w:t>  202</w:t>
      </w:r>
      <w:r w:rsidR="00166C0E" w:rsidRPr="001769A2">
        <w:rPr>
          <w:rFonts w:ascii="Times New Roman" w:eastAsia="Times New Roman" w:hAnsi="Times New Roman" w:cs="Times New Roman"/>
        </w:rPr>
        <w:t>1</w:t>
      </w:r>
      <w:proofErr w:type="gramEnd"/>
      <w:r w:rsidR="00BF2CCB" w:rsidRPr="001769A2">
        <w:rPr>
          <w:rFonts w:ascii="Times New Roman" w:eastAsia="Times New Roman" w:hAnsi="Times New Roman" w:cs="Times New Roman"/>
        </w:rPr>
        <w:t xml:space="preserve"> года.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2CCB" w:rsidRPr="001769A2" w:rsidRDefault="00BF2CCB" w:rsidP="00AC3B81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Конверты с ценовыми предложениями вскрываются комиссией в 1</w:t>
      </w:r>
      <w:r w:rsidR="000A4E8B" w:rsidRPr="001769A2">
        <w:rPr>
          <w:rFonts w:ascii="Times New Roman" w:eastAsia="Times New Roman" w:hAnsi="Times New Roman" w:cs="Times New Roman"/>
        </w:rPr>
        <w:t>5</w:t>
      </w:r>
      <w:r w:rsidRPr="001769A2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</w:t>
      </w:r>
      <w:r w:rsidRPr="001769A2">
        <w:rPr>
          <w:rFonts w:ascii="Times New Roman" w:eastAsia="Times New Roman" w:hAnsi="Times New Roman" w:cs="Times New Roman"/>
        </w:rPr>
        <w:lastRenderedPageBreak/>
        <w:t xml:space="preserve">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1769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1769A2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2A1329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</w:t>
      </w:r>
      <w:r w:rsidR="00841B1C" w:rsidRPr="001769A2">
        <w:rPr>
          <w:rFonts w:ascii="Times New Roman" w:eastAsia="Times New Roman" w:hAnsi="Times New Roman" w:cs="Times New Roman"/>
          <w:b/>
          <w:bCs/>
        </w:rPr>
        <w:t xml:space="preserve">Приложение № 1 </w:t>
      </w:r>
      <w:r w:rsidRPr="001769A2">
        <w:rPr>
          <w:rFonts w:ascii="Times New Roman" w:eastAsia="Times New Roman" w:hAnsi="Times New Roman" w:cs="Times New Roman"/>
          <w:b/>
          <w:bCs/>
        </w:rPr>
        <w:t>к настоящему объявлению</w:t>
      </w:r>
    </w:p>
    <w:tbl>
      <w:tblPr>
        <w:tblStyle w:val="a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851"/>
        <w:gridCol w:w="850"/>
        <w:gridCol w:w="851"/>
        <w:gridCol w:w="1242"/>
        <w:gridCol w:w="2160"/>
      </w:tblGrid>
      <w:tr w:rsidR="00831D23" w:rsidRPr="00787813" w:rsidTr="00B97211">
        <w:trPr>
          <w:trHeight w:val="1274"/>
        </w:trPr>
        <w:tc>
          <w:tcPr>
            <w:tcW w:w="568" w:type="dxa"/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851" w:type="dxa"/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Единица</w:t>
            </w:r>
          </w:p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измерения</w:t>
            </w:r>
          </w:p>
        </w:tc>
        <w:tc>
          <w:tcPr>
            <w:tcW w:w="850" w:type="dxa"/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851" w:type="dxa"/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445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42" w:type="dxa"/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>Сумма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31D23" w:rsidRPr="00893445" w:rsidRDefault="00831D23" w:rsidP="005E190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 xml:space="preserve">Место поставки </w:t>
            </w:r>
          </w:p>
        </w:tc>
      </w:tr>
      <w:tr w:rsidR="00831D23" w:rsidRPr="00787813" w:rsidTr="00893445">
        <w:trPr>
          <w:trHeight w:val="1755"/>
        </w:trPr>
        <w:tc>
          <w:tcPr>
            <w:tcW w:w="568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2, USP (3/0), длина нити 75 см,</w:t>
            </w:r>
            <w:r w:rsidRPr="00893445"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26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2500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1125000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1D23" w:rsidRPr="00893445" w:rsidRDefault="00831D23" w:rsidP="00831D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93445">
              <w:rPr>
                <w:rFonts w:ascii="Times New Roman" w:eastAsia="Times New Roman" w:hAnsi="Times New Roman" w:cs="Times New Roman"/>
              </w:rPr>
              <w:t>Алматинская</w:t>
            </w:r>
            <w:proofErr w:type="spellEnd"/>
            <w:r w:rsidRPr="00893445">
              <w:rPr>
                <w:rFonts w:ascii="Times New Roman" w:eastAsia="Times New Roman" w:hAnsi="Times New Roman" w:cs="Times New Roman"/>
              </w:rPr>
              <w:t xml:space="preserve"> область, </w:t>
            </w:r>
            <w:proofErr w:type="spellStart"/>
            <w:r w:rsidRPr="00893445">
              <w:rPr>
                <w:rFonts w:ascii="Times New Roman" w:eastAsia="Times New Roman" w:hAnsi="Times New Roman" w:cs="Times New Roman"/>
              </w:rPr>
              <w:t>Жамбылский</w:t>
            </w:r>
            <w:proofErr w:type="spellEnd"/>
            <w:r w:rsidRPr="00893445">
              <w:rPr>
                <w:rFonts w:ascii="Times New Roman" w:eastAsia="Times New Roman" w:hAnsi="Times New Roman" w:cs="Times New Roman"/>
              </w:rPr>
              <w:t xml:space="preserve"> район, село </w:t>
            </w:r>
            <w:proofErr w:type="spellStart"/>
            <w:r w:rsidRPr="00893445">
              <w:rPr>
                <w:rFonts w:ascii="Times New Roman" w:eastAsia="Times New Roman" w:hAnsi="Times New Roman" w:cs="Times New Roman"/>
              </w:rPr>
              <w:t>Узынагаш</w:t>
            </w:r>
            <w:proofErr w:type="spellEnd"/>
            <w:r w:rsidRPr="00893445">
              <w:rPr>
                <w:rFonts w:ascii="Times New Roman" w:eastAsia="Times New Roman" w:hAnsi="Times New Roman" w:cs="Times New Roman"/>
              </w:rPr>
              <w:t>, улица Карасай батыра 259.</w:t>
            </w:r>
          </w:p>
          <w:p w:rsidR="00831D23" w:rsidRPr="00893445" w:rsidRDefault="00831D23" w:rsidP="00831D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1D23" w:rsidRPr="00893445" w:rsidRDefault="00831D23" w:rsidP="00831D23">
            <w:pPr>
              <w:rPr>
                <w:rFonts w:ascii="Times New Roman" w:hAnsi="Times New Roman" w:cs="Times New Roman"/>
              </w:rPr>
            </w:pPr>
          </w:p>
        </w:tc>
      </w:tr>
      <w:tr w:rsidR="00831D23" w:rsidRPr="00787813" w:rsidTr="00893445">
        <w:trPr>
          <w:trHeight w:val="435"/>
        </w:trPr>
        <w:tc>
          <w:tcPr>
            <w:tcW w:w="568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3, USP (2/0), длина нити 75 см,</w:t>
            </w:r>
            <w:r w:rsidRPr="00893445"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26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2510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1506000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1D23" w:rsidRPr="00E45A2F" w:rsidTr="00893445">
        <w:trPr>
          <w:trHeight w:val="210"/>
        </w:trPr>
        <w:tc>
          <w:tcPr>
            <w:tcW w:w="568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3" w:type="dxa"/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3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,5</w:t>
            </w:r>
            <w:r w:rsidRPr="00893445">
              <w:rPr>
                <w:rFonts w:ascii="Times New Roman" w:hAnsi="Times New Roman" w:cs="Times New Roman"/>
                <w:color w:val="000000"/>
              </w:rPr>
              <w:t>, USP (0), длина нити 75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40мм,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3445">
              <w:rPr>
                <w:rFonts w:ascii="Times New Roman" w:hAnsi="Times New Roman" w:cs="Times New Roman"/>
                <w:lang w:val="en-US"/>
              </w:rPr>
              <w:t>1800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2600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4680000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1D23" w:rsidRPr="00787813" w:rsidTr="00893445">
        <w:trPr>
          <w:trHeight w:val="317"/>
        </w:trPr>
        <w:tc>
          <w:tcPr>
            <w:tcW w:w="568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543" w:type="dxa"/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4, USP (1), длина нити не менее 74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,5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 см и не более 90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,5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40 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831D23" w:rsidRPr="00893445" w:rsidRDefault="00831D23" w:rsidP="00831D23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1" w:type="dxa"/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3300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831D23" w:rsidRPr="00893445" w:rsidRDefault="00831D23" w:rsidP="00831D23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5940000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1D23" w:rsidRPr="00893445" w:rsidRDefault="00831D23" w:rsidP="00831D2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787813" w:rsidTr="00893445">
        <w:trPr>
          <w:trHeight w:val="317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543" w:type="dxa"/>
          </w:tcPr>
          <w:p w:rsidR="00364804" w:rsidRPr="008E71DF" w:rsidRDefault="00364804" w:rsidP="00364804">
            <w:proofErr w:type="spellStart"/>
            <w:r w:rsidRPr="008E71DF">
              <w:t>Викрил</w:t>
            </w:r>
            <w:proofErr w:type="spellEnd"/>
            <w:r w:rsidRPr="008E71DF">
              <w:t xml:space="preserve"> фиолетовый нить стерильная хир</w:t>
            </w:r>
            <w:r>
              <w:t>ургическая, рассасывающаяся. М 5</w:t>
            </w:r>
            <w:r w:rsidRPr="008E71DF">
              <w:t>, USP (</w:t>
            </w:r>
            <w:r>
              <w:t>2), длина нити не менее 7</w:t>
            </w:r>
            <w:r w:rsidRPr="008E71DF">
              <w:rPr>
                <w:lang w:val="kk-KZ"/>
              </w:rPr>
              <w:t>5</w:t>
            </w:r>
            <w:r w:rsidRPr="008E71DF">
              <w:t xml:space="preserve"> см</w:t>
            </w:r>
            <w:r>
              <w:t xml:space="preserve">, </w:t>
            </w:r>
            <w:r w:rsidRPr="008E71DF">
              <w:t xml:space="preserve">игла </w:t>
            </w:r>
            <w:proofErr w:type="gramStart"/>
            <w:r w:rsidRPr="008E71DF">
              <w:t xml:space="preserve">колющая </w:t>
            </w:r>
            <w:r>
              <w:t xml:space="preserve"> не</w:t>
            </w:r>
            <w:proofErr w:type="gramEnd"/>
            <w:r>
              <w:t xml:space="preserve"> менее 39,5</w:t>
            </w:r>
            <w:r w:rsidRPr="008E71DF">
              <w:t xml:space="preserve"> мм</w:t>
            </w:r>
            <w:r>
              <w:t xml:space="preserve"> и не более 48,5мм,1/2 </w:t>
            </w:r>
            <w:proofErr w:type="spellStart"/>
            <w:r>
              <w:t>окр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364804" w:rsidRPr="008E71DF" w:rsidRDefault="00364804" w:rsidP="00364804">
            <w:pPr>
              <w:jc w:val="center"/>
            </w:pPr>
            <w:r>
              <w:t>шт.</w:t>
            </w:r>
          </w:p>
        </w:tc>
        <w:tc>
          <w:tcPr>
            <w:tcW w:w="850" w:type="dxa"/>
          </w:tcPr>
          <w:p w:rsidR="00364804" w:rsidRPr="008E71DF" w:rsidRDefault="00364804" w:rsidP="00364804">
            <w:pPr>
              <w:jc w:val="center"/>
            </w:pPr>
            <w:r>
              <w:t>1600</w:t>
            </w:r>
          </w:p>
        </w:tc>
        <w:tc>
          <w:tcPr>
            <w:tcW w:w="851" w:type="dxa"/>
          </w:tcPr>
          <w:p w:rsidR="00364804" w:rsidRPr="008E71DF" w:rsidRDefault="00364804" w:rsidP="003648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3220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E71DF" w:rsidRDefault="00364804" w:rsidP="003648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5152000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787813" w:rsidTr="00893445">
        <w:trPr>
          <w:trHeight w:val="183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Викрил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 xml:space="preserve"> фиолетовый нить стерильная хирургическая, рассасывающаяся. М 5, USP (2), длина нити не менее 74,5 см и не более 90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,5 </w:t>
            </w:r>
            <w:r w:rsidRPr="00893445">
              <w:rPr>
                <w:rFonts w:ascii="Times New Roman" w:hAnsi="Times New Roman" w:cs="Times New Roman"/>
                <w:color w:val="000000"/>
              </w:rPr>
              <w:t xml:space="preserve">см, 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  <w:color w:val="000000"/>
              </w:rPr>
              <w:t xml:space="preserve"> колющая 48 мм, 1/2 </w:t>
            </w:r>
            <w:proofErr w:type="spellStart"/>
            <w:r w:rsidRPr="00893445">
              <w:rPr>
                <w:rFonts w:ascii="Times New Roman" w:hAnsi="Times New Roman" w:cs="Times New Roman"/>
                <w:color w:val="000000"/>
              </w:rPr>
              <w:t>окр</w:t>
            </w:r>
            <w:proofErr w:type="spellEnd"/>
            <w:r w:rsidRPr="0089344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3300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5940000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26721B" w:rsidTr="00893445">
        <w:trPr>
          <w:trHeight w:val="153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3/0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</w:rPr>
              <w:lastRenderedPageBreak/>
              <w:t xml:space="preserve">длина нити 75см,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20 мм.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980000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787813" w:rsidTr="00893445">
        <w:trPr>
          <w:trHeight w:val="183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0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4) длина нити 75см,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30 мм.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975000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787813" w:rsidTr="00893445">
        <w:trPr>
          <w:trHeight w:val="210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1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</w:t>
            </w:r>
            <w:proofErr w:type="gramStart"/>
            <w:r w:rsidRPr="00893445">
              <w:rPr>
                <w:rFonts w:ascii="Times New Roman" w:hAnsi="Times New Roman" w:cs="Times New Roman"/>
                <w:color w:val="000000"/>
              </w:rPr>
              <w:t>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893445">
              <w:rPr>
                <w:rFonts w:ascii="Times New Roman" w:hAnsi="Times New Roman" w:cs="Times New Roman"/>
              </w:rPr>
              <w:t>,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игла колющая 40 мм.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795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1033500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787813" w:rsidTr="00893445">
        <w:trPr>
          <w:trHeight w:val="255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2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6)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75см,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45 мм.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</w:rPr>
              <w:t>850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935000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787813" w:rsidTr="00893445">
        <w:trPr>
          <w:trHeight w:val="138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Кетгут простой USP 3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7)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75см,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 w:rsidRPr="00893445">
              <w:rPr>
                <w:rFonts w:ascii="Times New Roman" w:hAnsi="Times New Roman" w:cs="Times New Roman"/>
              </w:rPr>
              <w:t>игла</w:t>
            </w:r>
            <w:proofErr w:type="gramEnd"/>
            <w:r w:rsidRPr="00893445">
              <w:rPr>
                <w:rFonts w:ascii="Times New Roman" w:hAnsi="Times New Roman" w:cs="Times New Roman"/>
              </w:rPr>
              <w:t xml:space="preserve"> колющая 45 мм.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</w:rPr>
              <w:t>1100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660000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435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Монофил</w:t>
            </w:r>
            <w:r w:rsidRPr="00893445">
              <w:rPr>
                <w:rFonts w:ascii="Times New Roman" w:hAnsi="Times New Roman" w:cs="Times New Roman"/>
              </w:rPr>
              <w:t>-</w:t>
            </w:r>
            <w:r w:rsidRPr="00893445">
              <w:rPr>
                <w:rFonts w:ascii="Times New Roman" w:hAnsi="Times New Roman" w:cs="Times New Roman"/>
                <w:lang w:val="kk-KZ"/>
              </w:rPr>
              <w:t xml:space="preserve"> полипропиленовая , </w:t>
            </w:r>
            <w:r w:rsidRPr="00893445">
              <w:rPr>
                <w:rFonts w:ascii="Times New Roman" w:hAnsi="Times New Roman" w:cs="Times New Roman"/>
              </w:rPr>
              <w:t>USP 4/0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1,5)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20 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970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485000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Tr="00893445">
        <w:trPr>
          <w:trHeight w:val="210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Монофил</w:t>
            </w:r>
            <w:r w:rsidRPr="00893445">
              <w:rPr>
                <w:rFonts w:ascii="Times New Roman" w:hAnsi="Times New Roman" w:cs="Times New Roman"/>
              </w:rPr>
              <w:t>-</w:t>
            </w:r>
            <w:r w:rsidRPr="00893445">
              <w:rPr>
                <w:rFonts w:ascii="Times New Roman" w:hAnsi="Times New Roman" w:cs="Times New Roman"/>
                <w:lang w:val="kk-KZ"/>
              </w:rPr>
              <w:t xml:space="preserve"> полипропиленовая , </w:t>
            </w:r>
            <w:r w:rsidRPr="00893445">
              <w:rPr>
                <w:rFonts w:ascii="Times New Roman" w:hAnsi="Times New Roman" w:cs="Times New Roman"/>
              </w:rPr>
              <w:t>USP 3/0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2)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20 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950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475000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123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Монофил- полипропиленовая , </w:t>
            </w:r>
            <w:r w:rsidRPr="00893445">
              <w:rPr>
                <w:rFonts w:ascii="Times New Roman" w:hAnsi="Times New Roman" w:cs="Times New Roman"/>
              </w:rPr>
              <w:t>USP 2/0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30 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850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425000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495"/>
        </w:trPr>
        <w:tc>
          <w:tcPr>
            <w:tcW w:w="568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Монофил- полипропиленовая , </w:t>
            </w:r>
            <w:r w:rsidRPr="00893445">
              <w:rPr>
                <w:rFonts w:ascii="Times New Roman" w:hAnsi="Times New Roman" w:cs="Times New Roman"/>
              </w:rPr>
              <w:t>USP 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>, игла 40 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344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820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410000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180"/>
        </w:trPr>
        <w:tc>
          <w:tcPr>
            <w:tcW w:w="568" w:type="dxa"/>
          </w:tcPr>
          <w:p w:rsidR="00364804" w:rsidRPr="00364804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0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3,5)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30мм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610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61000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270"/>
        </w:trPr>
        <w:tc>
          <w:tcPr>
            <w:tcW w:w="568" w:type="dxa"/>
          </w:tcPr>
          <w:p w:rsidR="00364804" w:rsidRPr="00364804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1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4)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40мм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620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62000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300"/>
        </w:trPr>
        <w:tc>
          <w:tcPr>
            <w:tcW w:w="568" w:type="dxa"/>
          </w:tcPr>
          <w:p w:rsidR="00364804" w:rsidRPr="00364804" w:rsidRDefault="00364804" w:rsidP="00364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 xml:space="preserve">Нить лавсановая(полиэфирная) плетеная, окрашенная(зеленая),  </w:t>
            </w:r>
            <w:r w:rsidRPr="00893445">
              <w:rPr>
                <w:rFonts w:ascii="Times New Roman" w:hAnsi="Times New Roman" w:cs="Times New Roman"/>
              </w:rPr>
              <w:t>USP 2  (</w:t>
            </w:r>
            <w:proofErr w:type="spellStart"/>
            <w:r w:rsidRPr="00893445">
              <w:rPr>
                <w:rFonts w:ascii="Times New Roman" w:hAnsi="Times New Roman" w:cs="Times New Roman"/>
              </w:rPr>
              <w:t>Metric</w:t>
            </w:r>
            <w:proofErr w:type="spellEnd"/>
            <w:r w:rsidRPr="00893445">
              <w:rPr>
                <w:rFonts w:ascii="Times New Roman" w:hAnsi="Times New Roman" w:cs="Times New Roman"/>
              </w:rPr>
              <w:t xml:space="preserve"> 5)</w:t>
            </w:r>
            <w:r w:rsidRPr="00893445">
              <w:t xml:space="preserve"> </w:t>
            </w:r>
            <w:r w:rsidRPr="00893445">
              <w:rPr>
                <w:rFonts w:ascii="Times New Roman" w:hAnsi="Times New Roman" w:cs="Times New Roman"/>
                <w:color w:val="000000"/>
              </w:rPr>
              <w:t>длина нити 75см</w:t>
            </w:r>
            <w:r w:rsidRPr="0089344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893445">
              <w:rPr>
                <w:rFonts w:ascii="Times New Roman" w:hAnsi="Times New Roman" w:cs="Times New Roman"/>
                <w:lang w:val="kk-KZ"/>
              </w:rPr>
              <w:t>игла колющая 45мм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34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710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64804" w:rsidRPr="00893445" w:rsidRDefault="00364804" w:rsidP="00364804">
            <w:pPr>
              <w:jc w:val="right"/>
              <w:rPr>
                <w:color w:val="000000"/>
              </w:rPr>
            </w:pPr>
            <w:r w:rsidRPr="00893445">
              <w:rPr>
                <w:color w:val="000000"/>
                <w:lang w:val="kk-KZ"/>
              </w:rPr>
              <w:t>71000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64804" w:rsidRPr="00E659FC" w:rsidTr="00893445">
        <w:trPr>
          <w:trHeight w:val="334"/>
        </w:trPr>
        <w:tc>
          <w:tcPr>
            <w:tcW w:w="568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3445">
              <w:rPr>
                <w:rFonts w:ascii="Times New Roman" w:hAnsi="Times New Roman" w:cs="Times New Roman"/>
                <w:b/>
                <w:lang w:val="kk-KZ"/>
              </w:rPr>
              <w:t xml:space="preserve">Итого </w:t>
            </w:r>
          </w:p>
        </w:tc>
        <w:tc>
          <w:tcPr>
            <w:tcW w:w="851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364804" w:rsidRPr="00893445" w:rsidRDefault="00364804" w:rsidP="003648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2" w:type="dxa"/>
          </w:tcPr>
          <w:p w:rsidR="00364804" w:rsidRPr="00893445" w:rsidRDefault="00364804" w:rsidP="003648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30 915 500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364804" w:rsidRPr="00893445" w:rsidRDefault="00364804" w:rsidP="003648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C3B81" w:rsidRPr="00AC3B81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BF2CCB" w:rsidRDefault="00BF2CCB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AC3B81" w:rsidRPr="001769A2" w:rsidRDefault="00AC3B81" w:rsidP="00AC3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3B81" w:rsidRDefault="00BF2CCB" w:rsidP="00AC3B81">
      <w:pPr>
        <w:numPr>
          <w:ilvl w:val="0"/>
          <w:numId w:val="4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</w:p>
    <w:p w:rsidR="00E738CB" w:rsidRPr="001769A2" w:rsidRDefault="00BF2CCB" w:rsidP="00AC3B81">
      <w:pPr>
        <w:shd w:val="clear" w:color="auto" w:fill="FFFFFF"/>
        <w:spacing w:after="0" w:line="270" w:lineRule="atLeast"/>
        <w:ind w:left="1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1769A2" w:rsidRDefault="00BF2CCB" w:rsidP="00AC3B81">
      <w:pPr>
        <w:shd w:val="clear" w:color="auto" w:fill="FFFFFF"/>
        <w:spacing w:after="0" w:line="270" w:lineRule="atLeast"/>
        <w:ind w:left="397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</w:t>
      </w:r>
      <w:r w:rsidRPr="001769A2">
        <w:rPr>
          <w:rFonts w:ascii="Times New Roman" w:eastAsia="Times New Roman" w:hAnsi="Times New Roman" w:cs="Times New Roman"/>
        </w:rPr>
        <w:lastRenderedPageBreak/>
        <w:t xml:space="preserve">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1769A2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</w:t>
      </w:r>
      <w:r w:rsidR="00AC3B81">
        <w:rPr>
          <w:rFonts w:ascii="Times New Roman" w:eastAsia="Times New Roman" w:hAnsi="Times New Roman" w:cs="Times New Roman"/>
        </w:rPr>
        <w:t xml:space="preserve">полномоченным органом в </w:t>
      </w:r>
      <w:proofErr w:type="spellStart"/>
      <w:r w:rsidR="00AC3B81">
        <w:rPr>
          <w:rFonts w:ascii="Times New Roman" w:eastAsia="Times New Roman" w:hAnsi="Times New Roman" w:cs="Times New Roman"/>
        </w:rPr>
        <w:t>области</w:t>
      </w:r>
      <w:r w:rsidRPr="001769A2">
        <w:rPr>
          <w:rFonts w:ascii="Times New Roman" w:eastAsia="Times New Roman" w:hAnsi="Times New Roman" w:cs="Times New Roman"/>
        </w:rPr>
        <w:t>здравоохранения</w:t>
      </w:r>
      <w:proofErr w:type="spellEnd"/>
      <w:r w:rsidRPr="001769A2">
        <w:rPr>
          <w:rFonts w:ascii="Times New Roman" w:eastAsia="Times New Roman" w:hAnsi="Times New Roman" w:cs="Times New Roman"/>
        </w:rPr>
        <w:t>;</w:t>
      </w:r>
      <w:r w:rsidRPr="001769A2">
        <w:rPr>
          <w:rFonts w:ascii="Times New Roman" w:eastAsia="Times New Roman" w:hAnsi="Times New Roman" w:cs="Times New Roman"/>
        </w:rPr>
        <w:br/>
        <w:t>     2) </w:t>
      </w:r>
      <w:r w:rsidRPr="001769A2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1769A2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769A2">
        <w:rPr>
          <w:rFonts w:ascii="Times New Roman" w:eastAsia="Times New Roman" w:hAnsi="Times New Roman" w:cs="Times New Roman"/>
        </w:rPr>
        <w:t>препараты,</w:t>
      </w:r>
      <w:r w:rsidRPr="001769A2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транспортируются в условиях, </w:t>
      </w:r>
      <w:r w:rsidRPr="001769A2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3)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упаковка</w:t>
      </w:r>
      <w:r w:rsidRPr="001769A2">
        <w:rPr>
          <w:rFonts w:ascii="Times New Roman" w:eastAsia="Times New Roman" w:hAnsi="Times New Roman" w:cs="Times New Roman"/>
        </w:rPr>
        <w:t>и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4) </w:t>
      </w:r>
      <w:r w:rsidRPr="001769A2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1769A2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769A2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769A2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769A2">
        <w:rPr>
          <w:rFonts w:ascii="Times New Roman" w:eastAsia="Times New Roman" w:hAnsi="Times New Roman" w:cs="Times New Roman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 xml:space="preserve">     8) менее сроков годности, указанных в подпунктах 6) и 7) настоящего пункта, для </w:t>
      </w:r>
      <w:bookmarkStart w:id="0" w:name="_GoBack"/>
      <w:r w:rsidRPr="001769A2">
        <w:rPr>
          <w:rFonts w:ascii="Times New Roman" w:eastAsia="Times New Roman" w:hAnsi="Times New Roman" w:cs="Times New Roman"/>
        </w:rPr>
        <w:lastRenderedPageBreak/>
        <w:t>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769A2">
        <w:rPr>
          <w:rFonts w:ascii="Times New Roman" w:eastAsia="Times New Roman" w:hAnsi="Times New Roman" w:cs="Times New Roman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1769A2" w:rsidRDefault="00BF2CCB" w:rsidP="009B4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Приложение 12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социального развития Республики Казахстан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от 18 января 2017 года № 20</w:t>
            </w:r>
          </w:p>
        </w:tc>
      </w:tr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</w:t>
      </w:r>
      <w:r w:rsidRPr="001769A2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1769A2">
              <w:rPr>
                <w:rFonts w:ascii="Times New Roman" w:eastAsia="Times New Roman" w:hAnsi="Times New Roman" w:cs="Times New Roman"/>
              </w:rPr>
              <w:t>_ </w:t>
            </w:r>
            <w:r w:rsidR="00453F34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Pr="001769A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1769A2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1769A2">
              <w:rPr>
                <w:rFonts w:ascii="Times New Roman" w:eastAsia="Times New Roman" w:hAnsi="Times New Roman" w:cs="Times New Roman"/>
              </w:rPr>
              <w:t>2000</w:t>
            </w:r>
            <w:r w:rsidRPr="001769A2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D46A5" w:rsidRPr="00A53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69A2">
        <w:rPr>
          <w:rFonts w:ascii="Times New Roman" w:eastAsia="Times New Roman" w:hAnsi="Times New Roman" w:cs="Times New Roman"/>
        </w:rPr>
        <w:t>          </w:t>
      </w:r>
      <w:r w:rsidR="00C0446F" w:rsidRPr="00A5304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="00C0446F" w:rsidRPr="00A53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A53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A53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A53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A53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A53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A53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A53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9B413B" w:rsidRPr="00A53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3045">
        <w:rPr>
          <w:rFonts w:ascii="Times New Roman" w:eastAsia="Times New Roman" w:hAnsi="Times New Roman" w:cs="Times New Roman"/>
          <w:sz w:val="20"/>
          <w:szCs w:val="20"/>
        </w:rPr>
        <w:t>       </w:t>
      </w:r>
    </w:p>
    <w:p w:rsidR="00BF2CCB" w:rsidRPr="00A53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3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</w:t>
      </w:r>
      <w:r w:rsidR="00C0446F" w:rsidRPr="00A53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A53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A53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53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A53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A53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bookmarkEnd w:id="0"/>
    <w:p w:rsidR="00BF2CCB" w:rsidRPr="00A53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3045">
        <w:rPr>
          <w:rFonts w:ascii="Times New Roman" w:eastAsia="Times New Roman" w:hAnsi="Times New Roman" w:cs="Times New Roman"/>
          <w:sz w:val="20"/>
          <w:szCs w:val="20"/>
        </w:rPr>
        <w:lastRenderedPageBreak/>
        <w:t> </w:t>
      </w:r>
    </w:p>
    <w:sectPr w:rsidR="00BF2CCB" w:rsidRPr="00A53045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66418"/>
    <w:rsid w:val="00074454"/>
    <w:rsid w:val="00081773"/>
    <w:rsid w:val="00084850"/>
    <w:rsid w:val="000A08DC"/>
    <w:rsid w:val="000A4E8B"/>
    <w:rsid w:val="000B5AE3"/>
    <w:rsid w:val="000C63D0"/>
    <w:rsid w:val="000E1E72"/>
    <w:rsid w:val="000E6171"/>
    <w:rsid w:val="001118E6"/>
    <w:rsid w:val="00122C41"/>
    <w:rsid w:val="00122DE6"/>
    <w:rsid w:val="001415F6"/>
    <w:rsid w:val="00144FB4"/>
    <w:rsid w:val="001557F1"/>
    <w:rsid w:val="00166C0E"/>
    <w:rsid w:val="00173AE5"/>
    <w:rsid w:val="001769A2"/>
    <w:rsid w:val="00200690"/>
    <w:rsid w:val="002050FD"/>
    <w:rsid w:val="00207086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B37AA"/>
    <w:rsid w:val="002C0D37"/>
    <w:rsid w:val="002C66AC"/>
    <w:rsid w:val="002C7637"/>
    <w:rsid w:val="002D3B40"/>
    <w:rsid w:val="002D3F0D"/>
    <w:rsid w:val="002D7E17"/>
    <w:rsid w:val="002F276B"/>
    <w:rsid w:val="00301B09"/>
    <w:rsid w:val="00313F79"/>
    <w:rsid w:val="0031459D"/>
    <w:rsid w:val="00364804"/>
    <w:rsid w:val="00373AF5"/>
    <w:rsid w:val="00397DA7"/>
    <w:rsid w:val="003B0E74"/>
    <w:rsid w:val="003C0A23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8186A"/>
    <w:rsid w:val="00490540"/>
    <w:rsid w:val="004C36D8"/>
    <w:rsid w:val="004C3D35"/>
    <w:rsid w:val="004C60FB"/>
    <w:rsid w:val="004E49E0"/>
    <w:rsid w:val="004F1862"/>
    <w:rsid w:val="004F4662"/>
    <w:rsid w:val="00517F3F"/>
    <w:rsid w:val="00526BF3"/>
    <w:rsid w:val="005532B1"/>
    <w:rsid w:val="00562E10"/>
    <w:rsid w:val="005A1C86"/>
    <w:rsid w:val="005A505F"/>
    <w:rsid w:val="005C6479"/>
    <w:rsid w:val="005E1E6A"/>
    <w:rsid w:val="005E4BEC"/>
    <w:rsid w:val="00602615"/>
    <w:rsid w:val="00604FE7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437E0"/>
    <w:rsid w:val="00766A4C"/>
    <w:rsid w:val="007672C6"/>
    <w:rsid w:val="00790048"/>
    <w:rsid w:val="007931AB"/>
    <w:rsid w:val="00793460"/>
    <w:rsid w:val="007B382F"/>
    <w:rsid w:val="007C23F6"/>
    <w:rsid w:val="007D37F5"/>
    <w:rsid w:val="007E0B5F"/>
    <w:rsid w:val="007F2C08"/>
    <w:rsid w:val="007F560C"/>
    <w:rsid w:val="00831D23"/>
    <w:rsid w:val="00841B1C"/>
    <w:rsid w:val="00842EAB"/>
    <w:rsid w:val="00871F6A"/>
    <w:rsid w:val="00884427"/>
    <w:rsid w:val="00885098"/>
    <w:rsid w:val="00887F78"/>
    <w:rsid w:val="00890435"/>
    <w:rsid w:val="00893445"/>
    <w:rsid w:val="00894004"/>
    <w:rsid w:val="008941AD"/>
    <w:rsid w:val="008A72C8"/>
    <w:rsid w:val="008E4BB1"/>
    <w:rsid w:val="008E68A2"/>
    <w:rsid w:val="008F426E"/>
    <w:rsid w:val="009116CB"/>
    <w:rsid w:val="0092082E"/>
    <w:rsid w:val="00924DF3"/>
    <w:rsid w:val="00951B3F"/>
    <w:rsid w:val="00951E1F"/>
    <w:rsid w:val="0096782A"/>
    <w:rsid w:val="00967A7D"/>
    <w:rsid w:val="00991C77"/>
    <w:rsid w:val="009B413B"/>
    <w:rsid w:val="009B6C61"/>
    <w:rsid w:val="009D1FE1"/>
    <w:rsid w:val="009D46A5"/>
    <w:rsid w:val="009D55A0"/>
    <w:rsid w:val="009D6705"/>
    <w:rsid w:val="009E1187"/>
    <w:rsid w:val="009F2391"/>
    <w:rsid w:val="00A2346A"/>
    <w:rsid w:val="00A364BA"/>
    <w:rsid w:val="00A53045"/>
    <w:rsid w:val="00A56190"/>
    <w:rsid w:val="00A65F20"/>
    <w:rsid w:val="00A677B4"/>
    <w:rsid w:val="00A83407"/>
    <w:rsid w:val="00A8423B"/>
    <w:rsid w:val="00A87942"/>
    <w:rsid w:val="00A97F1E"/>
    <w:rsid w:val="00AB45A8"/>
    <w:rsid w:val="00AB6B03"/>
    <w:rsid w:val="00AC0256"/>
    <w:rsid w:val="00AC3B81"/>
    <w:rsid w:val="00B10072"/>
    <w:rsid w:val="00B10404"/>
    <w:rsid w:val="00B20001"/>
    <w:rsid w:val="00B508CF"/>
    <w:rsid w:val="00B53250"/>
    <w:rsid w:val="00B56454"/>
    <w:rsid w:val="00B71CCB"/>
    <w:rsid w:val="00B73C8E"/>
    <w:rsid w:val="00B779F3"/>
    <w:rsid w:val="00B92722"/>
    <w:rsid w:val="00B963BF"/>
    <w:rsid w:val="00B97211"/>
    <w:rsid w:val="00BA272F"/>
    <w:rsid w:val="00BA7762"/>
    <w:rsid w:val="00BB0903"/>
    <w:rsid w:val="00BB2857"/>
    <w:rsid w:val="00BB6733"/>
    <w:rsid w:val="00BC65B2"/>
    <w:rsid w:val="00BD2750"/>
    <w:rsid w:val="00BF0C55"/>
    <w:rsid w:val="00BF2CCB"/>
    <w:rsid w:val="00BF5E19"/>
    <w:rsid w:val="00C0100D"/>
    <w:rsid w:val="00C0446F"/>
    <w:rsid w:val="00C17262"/>
    <w:rsid w:val="00C23E05"/>
    <w:rsid w:val="00C33EC2"/>
    <w:rsid w:val="00C361D7"/>
    <w:rsid w:val="00C52046"/>
    <w:rsid w:val="00C70F75"/>
    <w:rsid w:val="00C854EA"/>
    <w:rsid w:val="00C94581"/>
    <w:rsid w:val="00CB210F"/>
    <w:rsid w:val="00CB47FE"/>
    <w:rsid w:val="00CB7743"/>
    <w:rsid w:val="00CC3262"/>
    <w:rsid w:val="00CC6F14"/>
    <w:rsid w:val="00CD0CE2"/>
    <w:rsid w:val="00CE0C0E"/>
    <w:rsid w:val="00CF08A1"/>
    <w:rsid w:val="00CF3A00"/>
    <w:rsid w:val="00CF5946"/>
    <w:rsid w:val="00CF6E01"/>
    <w:rsid w:val="00D07D5C"/>
    <w:rsid w:val="00D13D33"/>
    <w:rsid w:val="00D20DAA"/>
    <w:rsid w:val="00D22DDB"/>
    <w:rsid w:val="00D239FF"/>
    <w:rsid w:val="00D552AB"/>
    <w:rsid w:val="00D762C6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DE470E"/>
    <w:rsid w:val="00DE5233"/>
    <w:rsid w:val="00DE644C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A515C"/>
    <w:rsid w:val="00EC24A5"/>
    <w:rsid w:val="00EC3A1E"/>
    <w:rsid w:val="00EC64FC"/>
    <w:rsid w:val="00ED48E2"/>
    <w:rsid w:val="00F3630C"/>
    <w:rsid w:val="00F433CA"/>
    <w:rsid w:val="00F50439"/>
    <w:rsid w:val="00F539C1"/>
    <w:rsid w:val="00FB19CD"/>
    <w:rsid w:val="00FB4B83"/>
    <w:rsid w:val="00FD0B57"/>
    <w:rsid w:val="00FE22D7"/>
    <w:rsid w:val="00FE3E6E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831D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8804-AFC9-4FBE-AB1B-563C6438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6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188</cp:revision>
  <cp:lastPrinted>2021-09-27T08:44:00Z</cp:lastPrinted>
  <dcterms:created xsi:type="dcterms:W3CDTF">2020-05-19T05:45:00Z</dcterms:created>
  <dcterms:modified xsi:type="dcterms:W3CDTF">2021-09-27T08:47:00Z</dcterms:modified>
</cp:coreProperties>
</file>